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26B8F" w14:textId="77777777" w:rsidR="006B2AA3" w:rsidRDefault="006B2AA3" w:rsidP="00550113">
      <w:pPr>
        <w:spacing w:after="0" w:line="480" w:lineRule="auto"/>
        <w:jc w:val="center"/>
        <w:rPr>
          <w:rFonts w:ascii="Times New Roman" w:hAnsi="Times New Roman" w:cs="Times New Roman"/>
          <w:sz w:val="24"/>
          <w:szCs w:val="24"/>
        </w:rPr>
      </w:pPr>
    </w:p>
    <w:p w14:paraId="3F4BD26F" w14:textId="77777777" w:rsidR="006B2AA3" w:rsidRDefault="006B2AA3" w:rsidP="00550113">
      <w:pPr>
        <w:spacing w:after="0" w:line="480" w:lineRule="auto"/>
        <w:jc w:val="center"/>
        <w:rPr>
          <w:rFonts w:ascii="Times New Roman" w:hAnsi="Times New Roman" w:cs="Times New Roman"/>
          <w:sz w:val="24"/>
          <w:szCs w:val="24"/>
        </w:rPr>
      </w:pPr>
    </w:p>
    <w:p w14:paraId="2CFFF636" w14:textId="77777777" w:rsidR="006B2AA3" w:rsidRDefault="006B2AA3" w:rsidP="00550113">
      <w:pPr>
        <w:spacing w:after="0" w:line="480" w:lineRule="auto"/>
        <w:jc w:val="center"/>
        <w:rPr>
          <w:rFonts w:ascii="Times New Roman" w:hAnsi="Times New Roman" w:cs="Times New Roman"/>
          <w:sz w:val="24"/>
          <w:szCs w:val="24"/>
        </w:rPr>
      </w:pPr>
    </w:p>
    <w:p w14:paraId="608421CF" w14:textId="77777777" w:rsidR="006B2AA3" w:rsidRDefault="006B2AA3" w:rsidP="00550113">
      <w:pPr>
        <w:spacing w:after="0" w:line="480" w:lineRule="auto"/>
        <w:jc w:val="center"/>
        <w:rPr>
          <w:rFonts w:ascii="Times New Roman" w:hAnsi="Times New Roman" w:cs="Times New Roman"/>
          <w:sz w:val="24"/>
          <w:szCs w:val="24"/>
        </w:rPr>
      </w:pPr>
    </w:p>
    <w:p w14:paraId="74498E3A" w14:textId="77777777" w:rsidR="006B2AA3" w:rsidRDefault="006B2AA3" w:rsidP="00550113">
      <w:pPr>
        <w:spacing w:after="0" w:line="480" w:lineRule="auto"/>
        <w:jc w:val="center"/>
        <w:rPr>
          <w:rFonts w:ascii="Times New Roman" w:hAnsi="Times New Roman" w:cs="Times New Roman"/>
          <w:sz w:val="24"/>
          <w:szCs w:val="24"/>
        </w:rPr>
      </w:pPr>
    </w:p>
    <w:p w14:paraId="372E61AE" w14:textId="77777777" w:rsidR="006B2AA3" w:rsidRDefault="006B2AA3" w:rsidP="00550113">
      <w:pPr>
        <w:spacing w:after="0" w:line="480" w:lineRule="auto"/>
        <w:jc w:val="center"/>
        <w:rPr>
          <w:rFonts w:ascii="Times New Roman" w:hAnsi="Times New Roman" w:cs="Times New Roman"/>
          <w:sz w:val="24"/>
          <w:szCs w:val="24"/>
        </w:rPr>
      </w:pPr>
    </w:p>
    <w:p w14:paraId="2BF58E19" w14:textId="77777777" w:rsidR="006B2AA3" w:rsidRDefault="006B2AA3" w:rsidP="00550113">
      <w:pPr>
        <w:spacing w:after="0" w:line="480" w:lineRule="auto"/>
        <w:jc w:val="center"/>
        <w:rPr>
          <w:rFonts w:ascii="Times New Roman" w:hAnsi="Times New Roman" w:cs="Times New Roman"/>
          <w:sz w:val="24"/>
          <w:szCs w:val="24"/>
        </w:rPr>
      </w:pPr>
    </w:p>
    <w:p w14:paraId="2639079B" w14:textId="77777777" w:rsidR="006B2AA3" w:rsidRDefault="006B2AA3" w:rsidP="00550113">
      <w:pPr>
        <w:spacing w:after="0" w:line="480" w:lineRule="auto"/>
        <w:jc w:val="center"/>
        <w:rPr>
          <w:rFonts w:ascii="Times New Roman" w:hAnsi="Times New Roman" w:cs="Times New Roman"/>
          <w:sz w:val="24"/>
          <w:szCs w:val="24"/>
        </w:rPr>
      </w:pPr>
    </w:p>
    <w:p w14:paraId="270632C4" w14:textId="77777777" w:rsidR="006B2AA3" w:rsidRDefault="006B2AA3" w:rsidP="00550113">
      <w:pPr>
        <w:spacing w:after="0" w:line="480" w:lineRule="auto"/>
        <w:jc w:val="center"/>
        <w:rPr>
          <w:rFonts w:ascii="Times New Roman" w:hAnsi="Times New Roman" w:cs="Times New Roman"/>
          <w:sz w:val="24"/>
          <w:szCs w:val="24"/>
        </w:rPr>
      </w:pPr>
    </w:p>
    <w:p w14:paraId="3E0223F3" w14:textId="77777777" w:rsidR="006B2AA3" w:rsidRDefault="006B2AA3" w:rsidP="00550113">
      <w:pPr>
        <w:spacing w:after="0" w:line="480" w:lineRule="auto"/>
        <w:jc w:val="center"/>
        <w:rPr>
          <w:rFonts w:ascii="Times New Roman" w:hAnsi="Times New Roman" w:cs="Times New Roman"/>
          <w:sz w:val="24"/>
          <w:szCs w:val="24"/>
        </w:rPr>
      </w:pPr>
    </w:p>
    <w:p w14:paraId="2DFDAF47" w14:textId="77777777" w:rsidR="006B2AA3" w:rsidRDefault="006B2AA3" w:rsidP="00550113">
      <w:pPr>
        <w:spacing w:after="0" w:line="480" w:lineRule="auto"/>
        <w:jc w:val="center"/>
        <w:rPr>
          <w:rFonts w:ascii="Times New Roman" w:hAnsi="Times New Roman" w:cs="Times New Roman"/>
          <w:sz w:val="24"/>
          <w:szCs w:val="24"/>
        </w:rPr>
      </w:pPr>
    </w:p>
    <w:p w14:paraId="63780CBC" w14:textId="77777777" w:rsidR="006B2AA3" w:rsidRDefault="006B2AA3" w:rsidP="00550113">
      <w:pPr>
        <w:spacing w:after="0" w:line="480" w:lineRule="auto"/>
        <w:jc w:val="center"/>
        <w:rPr>
          <w:rFonts w:ascii="Times New Roman" w:hAnsi="Times New Roman" w:cs="Times New Roman"/>
          <w:sz w:val="24"/>
          <w:szCs w:val="24"/>
        </w:rPr>
      </w:pPr>
    </w:p>
    <w:p w14:paraId="3E6225BB" w14:textId="77777777" w:rsidR="006B2AA3" w:rsidRDefault="006B2AA3" w:rsidP="00550113">
      <w:pPr>
        <w:spacing w:after="0" w:line="480" w:lineRule="auto"/>
        <w:jc w:val="center"/>
        <w:rPr>
          <w:rFonts w:ascii="Times New Roman" w:hAnsi="Times New Roman" w:cs="Times New Roman"/>
          <w:sz w:val="24"/>
          <w:szCs w:val="24"/>
        </w:rPr>
      </w:pPr>
    </w:p>
    <w:p w14:paraId="6575D265" w14:textId="0F8D64D6" w:rsidR="0099245A" w:rsidRDefault="00D078E3" w:rsidP="00550113">
      <w:pPr>
        <w:spacing w:after="0" w:line="480" w:lineRule="auto"/>
        <w:jc w:val="center"/>
        <w:rPr>
          <w:rFonts w:ascii="Times New Roman" w:hAnsi="Times New Roman" w:cs="Times New Roman"/>
          <w:sz w:val="24"/>
          <w:szCs w:val="24"/>
        </w:rPr>
      </w:pPr>
      <w:hyperlink r:id="rId7" w:history="1">
        <w:r w:rsidR="00A67C1D" w:rsidRPr="00550113">
          <w:rPr>
            <w:rStyle w:val="Hyperlink"/>
            <w:rFonts w:ascii="Times New Roman" w:hAnsi="Times New Roman" w:cs="Times New Roman"/>
            <w:color w:val="auto"/>
            <w:sz w:val="24"/>
            <w:szCs w:val="24"/>
            <w:u w:val="none"/>
          </w:rPr>
          <w:t>Fresenius Medical Care AG and Company</w:t>
        </w:r>
      </w:hyperlink>
    </w:p>
    <w:p w14:paraId="3E120D29" w14:textId="77777777" w:rsidR="00F9358D" w:rsidRDefault="00A67C1D" w:rsidP="00F935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1335DE1B" w14:textId="564E556B" w:rsidR="00F9358D" w:rsidRDefault="00A67C1D" w:rsidP="00F935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62FC596" w14:textId="41BBCB8E" w:rsidR="006B2AA3" w:rsidRDefault="006B2AA3" w:rsidP="00F9358D">
      <w:pPr>
        <w:spacing w:after="0" w:line="480" w:lineRule="auto"/>
        <w:jc w:val="center"/>
        <w:rPr>
          <w:rFonts w:ascii="Times New Roman" w:hAnsi="Times New Roman" w:cs="Times New Roman"/>
          <w:sz w:val="24"/>
          <w:szCs w:val="24"/>
        </w:rPr>
      </w:pPr>
    </w:p>
    <w:p w14:paraId="5C7CEC0A" w14:textId="3F781339" w:rsidR="006B2AA3" w:rsidRDefault="006B2AA3" w:rsidP="00F9358D">
      <w:pPr>
        <w:spacing w:after="0" w:line="480" w:lineRule="auto"/>
        <w:jc w:val="center"/>
        <w:rPr>
          <w:rFonts w:ascii="Times New Roman" w:hAnsi="Times New Roman" w:cs="Times New Roman"/>
          <w:sz w:val="24"/>
          <w:szCs w:val="24"/>
        </w:rPr>
      </w:pPr>
    </w:p>
    <w:p w14:paraId="7C865881" w14:textId="48FE5528" w:rsidR="006B2AA3" w:rsidRDefault="006B2AA3" w:rsidP="00F9358D">
      <w:pPr>
        <w:spacing w:after="0" w:line="480" w:lineRule="auto"/>
        <w:jc w:val="center"/>
        <w:rPr>
          <w:rFonts w:ascii="Times New Roman" w:hAnsi="Times New Roman" w:cs="Times New Roman"/>
          <w:sz w:val="24"/>
          <w:szCs w:val="24"/>
        </w:rPr>
      </w:pPr>
    </w:p>
    <w:p w14:paraId="6015C8F4" w14:textId="3ECB2849" w:rsidR="006B2AA3" w:rsidRDefault="006B2AA3" w:rsidP="00F9358D">
      <w:pPr>
        <w:spacing w:after="0" w:line="480" w:lineRule="auto"/>
        <w:jc w:val="center"/>
        <w:rPr>
          <w:rFonts w:ascii="Times New Roman" w:hAnsi="Times New Roman" w:cs="Times New Roman"/>
          <w:sz w:val="24"/>
          <w:szCs w:val="24"/>
        </w:rPr>
      </w:pPr>
    </w:p>
    <w:p w14:paraId="12D544BA" w14:textId="1ABA3CA2" w:rsidR="006B2AA3" w:rsidRDefault="006B2AA3" w:rsidP="00F9358D">
      <w:pPr>
        <w:spacing w:after="0" w:line="480" w:lineRule="auto"/>
        <w:jc w:val="center"/>
        <w:rPr>
          <w:rFonts w:ascii="Times New Roman" w:hAnsi="Times New Roman" w:cs="Times New Roman"/>
          <w:sz w:val="24"/>
          <w:szCs w:val="24"/>
        </w:rPr>
      </w:pPr>
    </w:p>
    <w:p w14:paraId="75B4DB01" w14:textId="3642B27F" w:rsidR="006B2AA3" w:rsidRDefault="006B2AA3" w:rsidP="00F9358D">
      <w:pPr>
        <w:spacing w:after="0" w:line="480" w:lineRule="auto"/>
        <w:jc w:val="center"/>
        <w:rPr>
          <w:rFonts w:ascii="Times New Roman" w:hAnsi="Times New Roman" w:cs="Times New Roman"/>
          <w:sz w:val="24"/>
          <w:szCs w:val="24"/>
        </w:rPr>
      </w:pPr>
    </w:p>
    <w:p w14:paraId="37C672CD" w14:textId="77777777" w:rsidR="006B2AA3" w:rsidRPr="00550113" w:rsidRDefault="006B2AA3" w:rsidP="00F9358D">
      <w:pPr>
        <w:spacing w:after="0" w:line="480" w:lineRule="auto"/>
        <w:jc w:val="center"/>
        <w:rPr>
          <w:rFonts w:ascii="Times New Roman" w:hAnsi="Times New Roman" w:cs="Times New Roman"/>
          <w:sz w:val="24"/>
          <w:szCs w:val="24"/>
        </w:rPr>
      </w:pPr>
    </w:p>
    <w:p w14:paraId="1C22901C" w14:textId="3318375C" w:rsidR="0099245A"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lastRenderedPageBreak/>
        <w:t xml:space="preserve">Introduction </w:t>
      </w:r>
    </w:p>
    <w:p w14:paraId="4310932C" w14:textId="015F7360" w:rsidR="0099245A"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Fresenius Medical care AG &amp; Company is </w:t>
      </w:r>
      <w:r w:rsidR="00753E23" w:rsidRPr="00550113">
        <w:rPr>
          <w:rFonts w:ascii="Times New Roman" w:hAnsi="Times New Roman" w:cs="Times New Roman"/>
          <w:sz w:val="24"/>
          <w:szCs w:val="24"/>
        </w:rPr>
        <w:t>a</w:t>
      </w:r>
      <w:r w:rsidRPr="00550113">
        <w:rPr>
          <w:rFonts w:ascii="Times New Roman" w:hAnsi="Times New Roman" w:cs="Times New Roman"/>
          <w:sz w:val="24"/>
          <w:szCs w:val="24"/>
        </w:rPr>
        <w:t xml:space="preserve"> healthcare institution that specializes in kidney dialysis services. The institutions </w:t>
      </w:r>
      <w:r w:rsidR="00A263E1" w:rsidRPr="00550113">
        <w:rPr>
          <w:rFonts w:ascii="Times New Roman" w:hAnsi="Times New Roman" w:cs="Times New Roman"/>
          <w:sz w:val="24"/>
          <w:szCs w:val="24"/>
        </w:rPr>
        <w:t>boost</w:t>
      </w:r>
      <w:r w:rsidRPr="00550113">
        <w:rPr>
          <w:rFonts w:ascii="Times New Roman" w:hAnsi="Times New Roman" w:cs="Times New Roman"/>
          <w:sz w:val="24"/>
          <w:szCs w:val="24"/>
        </w:rPr>
        <w:t xml:space="preserve"> a network of 3994 outpatient dialysis centers and </w:t>
      </w:r>
      <w:r w:rsidR="00A263E1" w:rsidRPr="00550113">
        <w:rPr>
          <w:rFonts w:ascii="Times New Roman" w:hAnsi="Times New Roman" w:cs="Times New Roman"/>
          <w:sz w:val="24"/>
          <w:szCs w:val="24"/>
        </w:rPr>
        <w:t xml:space="preserve">serve 345096 patients. The healthcare institution primarily offers treatment to end-stage renal diseases (ESRD) that entail patients undergoing dialysis 3 times in a single week for the rest of the lives. </w:t>
      </w:r>
    </w:p>
    <w:p w14:paraId="683C4AF1" w14:textId="0F5F9239" w:rsidR="00A263E1"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 headquarters are at Bad Homburg vor der Hohe, Germany, and North American headquarters in Waltham, Massachusetts. The firm enjoys a market share of 38 percent market share in the United States. Moreover, it has 45 production sites </w:t>
      </w:r>
      <w:r w:rsidR="00D15B33" w:rsidRPr="00550113">
        <w:rPr>
          <w:rFonts w:ascii="Times New Roman" w:hAnsi="Times New Roman" w:cs="Times New Roman"/>
          <w:sz w:val="24"/>
          <w:szCs w:val="24"/>
        </w:rPr>
        <w:t xml:space="preserve">across the globe with the largest in U.S., Germany, and Japan. </w:t>
      </w:r>
      <w:r w:rsidR="00E347C5">
        <w:rPr>
          <w:rFonts w:ascii="Times New Roman" w:hAnsi="Times New Roman" w:cs="Times New Roman"/>
          <w:sz w:val="24"/>
          <w:szCs w:val="24"/>
        </w:rPr>
        <w:t xml:space="preserve">The company’s </w:t>
      </w:r>
      <w:r w:rsidR="00D15B33" w:rsidRPr="00550113">
        <w:rPr>
          <w:rFonts w:ascii="Times New Roman" w:hAnsi="Times New Roman" w:cs="Times New Roman"/>
          <w:sz w:val="24"/>
          <w:szCs w:val="24"/>
        </w:rPr>
        <w:t xml:space="preserve">current CEO is Rice Powell and has an employee base of 120658 as of </w:t>
      </w:r>
      <w:r w:rsidR="00753E23" w:rsidRPr="00550113">
        <w:rPr>
          <w:rFonts w:ascii="Times New Roman" w:hAnsi="Times New Roman" w:cs="Times New Roman"/>
          <w:sz w:val="24"/>
          <w:szCs w:val="24"/>
        </w:rPr>
        <w:t>2019</w:t>
      </w:r>
      <w:r w:rsidR="007D165C" w:rsidRPr="00550113">
        <w:rPr>
          <w:rFonts w:ascii="Times New Roman" w:hAnsi="Times New Roman" w:cs="Times New Roman"/>
          <w:sz w:val="24"/>
          <w:szCs w:val="24"/>
        </w:rPr>
        <w:t xml:space="preserve"> (</w:t>
      </w:r>
      <w:r w:rsidR="007D165C" w:rsidRPr="007D165C">
        <w:rPr>
          <w:rFonts w:ascii="Times New Roman" w:eastAsia="Times New Roman" w:hAnsi="Times New Roman" w:cs="Times New Roman"/>
          <w:sz w:val="24"/>
          <w:szCs w:val="24"/>
        </w:rPr>
        <w:t>Kunze</w:t>
      </w:r>
      <w:r w:rsidR="007D165C" w:rsidRPr="00550113">
        <w:rPr>
          <w:rFonts w:ascii="Times New Roman" w:eastAsia="Times New Roman" w:hAnsi="Times New Roman" w:cs="Times New Roman"/>
          <w:sz w:val="24"/>
          <w:szCs w:val="24"/>
        </w:rPr>
        <w:t xml:space="preserve"> and </w:t>
      </w:r>
      <w:proofErr w:type="spellStart"/>
      <w:r w:rsidR="007D165C" w:rsidRPr="007D165C">
        <w:rPr>
          <w:rFonts w:ascii="Times New Roman" w:eastAsia="Times New Roman" w:hAnsi="Times New Roman" w:cs="Times New Roman"/>
          <w:sz w:val="24"/>
          <w:szCs w:val="24"/>
        </w:rPr>
        <w:t>Heger</w:t>
      </w:r>
      <w:proofErr w:type="spellEnd"/>
      <w:r w:rsidR="007D165C" w:rsidRPr="00550113">
        <w:rPr>
          <w:rFonts w:ascii="Times New Roman" w:eastAsia="Times New Roman" w:hAnsi="Times New Roman" w:cs="Times New Roman"/>
          <w:sz w:val="24"/>
          <w:szCs w:val="24"/>
        </w:rPr>
        <w:t xml:space="preserve"> </w:t>
      </w:r>
      <w:r w:rsidR="007D165C" w:rsidRPr="007D165C">
        <w:rPr>
          <w:rFonts w:ascii="Times New Roman" w:eastAsia="Times New Roman" w:hAnsi="Times New Roman" w:cs="Times New Roman"/>
          <w:sz w:val="24"/>
          <w:szCs w:val="24"/>
        </w:rPr>
        <w:t>2019).</w:t>
      </w:r>
    </w:p>
    <w:p w14:paraId="38FADF95" w14:textId="2742991C" w:rsidR="00D15B33"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 was formed </w:t>
      </w:r>
      <w:r w:rsidR="00410082">
        <w:rPr>
          <w:rFonts w:ascii="Times New Roman" w:hAnsi="Times New Roman" w:cs="Times New Roman"/>
          <w:sz w:val="24"/>
          <w:szCs w:val="24"/>
        </w:rPr>
        <w:t xml:space="preserve">in 1996 when </w:t>
      </w:r>
      <w:r w:rsidRPr="00550113">
        <w:rPr>
          <w:rFonts w:ascii="Times New Roman" w:hAnsi="Times New Roman" w:cs="Times New Roman"/>
          <w:sz w:val="24"/>
          <w:szCs w:val="24"/>
        </w:rPr>
        <w:t xml:space="preserve">Fresenius SE &amp; </w:t>
      </w:r>
      <w:r w:rsidR="00753E23" w:rsidRPr="00550113">
        <w:rPr>
          <w:rFonts w:ascii="Times New Roman" w:hAnsi="Times New Roman" w:cs="Times New Roman"/>
          <w:sz w:val="24"/>
          <w:szCs w:val="24"/>
        </w:rPr>
        <w:t>KGaA merged</w:t>
      </w:r>
      <w:r w:rsidRPr="00550113">
        <w:rPr>
          <w:rFonts w:ascii="Times New Roman" w:hAnsi="Times New Roman" w:cs="Times New Roman"/>
          <w:sz w:val="24"/>
          <w:szCs w:val="24"/>
        </w:rPr>
        <w:t xml:space="preserve"> its dialysis ventures</w:t>
      </w:r>
      <w:r w:rsidR="00E347C5">
        <w:rPr>
          <w:rFonts w:ascii="Times New Roman" w:hAnsi="Times New Roman" w:cs="Times New Roman"/>
          <w:sz w:val="24"/>
          <w:szCs w:val="24"/>
        </w:rPr>
        <w:t xml:space="preserve"> into</w:t>
      </w:r>
      <w:r w:rsidR="00410082">
        <w:rPr>
          <w:rFonts w:ascii="Times New Roman" w:hAnsi="Times New Roman" w:cs="Times New Roman"/>
          <w:sz w:val="24"/>
          <w:szCs w:val="24"/>
        </w:rPr>
        <w:t xml:space="preserve"> </w:t>
      </w:r>
      <w:r w:rsidRPr="00550113">
        <w:rPr>
          <w:rFonts w:ascii="Times New Roman" w:hAnsi="Times New Roman" w:cs="Times New Roman"/>
          <w:sz w:val="24"/>
          <w:szCs w:val="24"/>
        </w:rPr>
        <w:t xml:space="preserve">W.R. Grace’s </w:t>
      </w:r>
      <w:r w:rsidR="00E347C5">
        <w:rPr>
          <w:rFonts w:ascii="Times New Roman" w:hAnsi="Times New Roman" w:cs="Times New Roman"/>
          <w:sz w:val="24"/>
          <w:szCs w:val="24"/>
        </w:rPr>
        <w:t>N</w:t>
      </w:r>
      <w:r w:rsidRPr="00550113">
        <w:rPr>
          <w:rFonts w:ascii="Times New Roman" w:hAnsi="Times New Roman" w:cs="Times New Roman"/>
          <w:sz w:val="24"/>
          <w:szCs w:val="24"/>
        </w:rPr>
        <w:t xml:space="preserve">ational Medical </w:t>
      </w:r>
      <w:r w:rsidR="00FE2B5C">
        <w:rPr>
          <w:rFonts w:ascii="Times New Roman" w:hAnsi="Times New Roman" w:cs="Times New Roman"/>
          <w:sz w:val="24"/>
          <w:szCs w:val="24"/>
        </w:rPr>
        <w:t>C</w:t>
      </w:r>
      <w:r w:rsidRPr="00550113">
        <w:rPr>
          <w:rFonts w:ascii="Times New Roman" w:hAnsi="Times New Roman" w:cs="Times New Roman"/>
          <w:sz w:val="24"/>
          <w:szCs w:val="24"/>
        </w:rPr>
        <w:t xml:space="preserve">are and </w:t>
      </w:r>
      <w:r w:rsidR="00FE2B5C">
        <w:rPr>
          <w:rFonts w:ascii="Times New Roman" w:hAnsi="Times New Roman" w:cs="Times New Roman"/>
          <w:sz w:val="24"/>
          <w:szCs w:val="24"/>
        </w:rPr>
        <w:t>founded</w:t>
      </w:r>
      <w:r w:rsidRPr="00550113">
        <w:rPr>
          <w:rFonts w:ascii="Times New Roman" w:hAnsi="Times New Roman" w:cs="Times New Roman"/>
          <w:sz w:val="24"/>
          <w:szCs w:val="24"/>
        </w:rPr>
        <w:t xml:space="preserve"> the Fresenius </w:t>
      </w:r>
      <w:r w:rsidR="00FE2B5C">
        <w:rPr>
          <w:rFonts w:ascii="Times New Roman" w:hAnsi="Times New Roman" w:cs="Times New Roman"/>
          <w:sz w:val="24"/>
          <w:szCs w:val="24"/>
        </w:rPr>
        <w:t>M</w:t>
      </w:r>
      <w:r w:rsidRPr="00550113">
        <w:rPr>
          <w:rFonts w:ascii="Times New Roman" w:hAnsi="Times New Roman" w:cs="Times New Roman"/>
          <w:sz w:val="24"/>
          <w:szCs w:val="24"/>
        </w:rPr>
        <w:t xml:space="preserve">edical </w:t>
      </w:r>
      <w:r w:rsidR="00FE2B5C">
        <w:rPr>
          <w:rFonts w:ascii="Times New Roman" w:hAnsi="Times New Roman" w:cs="Times New Roman"/>
          <w:sz w:val="24"/>
          <w:szCs w:val="24"/>
        </w:rPr>
        <w:t>C</w:t>
      </w:r>
      <w:r w:rsidRPr="00550113">
        <w:rPr>
          <w:rFonts w:ascii="Times New Roman" w:hAnsi="Times New Roman" w:cs="Times New Roman"/>
          <w:sz w:val="24"/>
          <w:szCs w:val="24"/>
        </w:rPr>
        <w:t xml:space="preserve">are. It was found guilty in 2000 to billing </w:t>
      </w:r>
      <w:r w:rsidR="00753E23" w:rsidRPr="00550113">
        <w:rPr>
          <w:rFonts w:ascii="Times New Roman" w:hAnsi="Times New Roman" w:cs="Times New Roman"/>
          <w:sz w:val="24"/>
          <w:szCs w:val="24"/>
        </w:rPr>
        <w:t>Medicare</w:t>
      </w:r>
      <w:r w:rsidRPr="00550113">
        <w:rPr>
          <w:rFonts w:ascii="Times New Roman" w:hAnsi="Times New Roman" w:cs="Times New Roman"/>
          <w:sz w:val="24"/>
          <w:szCs w:val="24"/>
        </w:rPr>
        <w:t xml:space="preserve"> for unnecessary medical tests while paying kickbacks for the lab business. It was fined $ 486 million. In 2012, it </w:t>
      </w:r>
      <w:r w:rsidR="00BD3310" w:rsidRPr="00550113">
        <w:rPr>
          <w:rFonts w:ascii="Times New Roman" w:hAnsi="Times New Roman" w:cs="Times New Roman"/>
          <w:sz w:val="24"/>
          <w:szCs w:val="24"/>
        </w:rPr>
        <w:t xml:space="preserve">bought </w:t>
      </w:r>
      <w:r w:rsidRPr="00550113">
        <w:rPr>
          <w:rFonts w:ascii="Times New Roman" w:hAnsi="Times New Roman" w:cs="Times New Roman"/>
          <w:sz w:val="24"/>
          <w:szCs w:val="24"/>
        </w:rPr>
        <w:t xml:space="preserve">the Liberty dialysis that resulted in the addition of 201 clinics for </w:t>
      </w:r>
      <w:r w:rsidR="00BD3310" w:rsidRPr="00550113">
        <w:rPr>
          <w:rFonts w:ascii="Times New Roman" w:hAnsi="Times New Roman" w:cs="Times New Roman"/>
          <w:sz w:val="24"/>
          <w:szCs w:val="24"/>
        </w:rPr>
        <w:t xml:space="preserve">$ 1.5 </w:t>
      </w:r>
      <w:r w:rsidR="00753E23" w:rsidRPr="00550113">
        <w:rPr>
          <w:rFonts w:ascii="Times New Roman" w:hAnsi="Times New Roman" w:cs="Times New Roman"/>
          <w:sz w:val="24"/>
          <w:szCs w:val="24"/>
        </w:rPr>
        <w:t>billion</w:t>
      </w:r>
      <w:r w:rsidR="00BD3310" w:rsidRPr="00550113">
        <w:rPr>
          <w:rFonts w:ascii="Times New Roman" w:hAnsi="Times New Roman" w:cs="Times New Roman"/>
          <w:sz w:val="24"/>
          <w:szCs w:val="24"/>
        </w:rPr>
        <w:t xml:space="preserve">. In the same year, Rice </w:t>
      </w:r>
      <w:r w:rsidR="00753E23" w:rsidRPr="00550113">
        <w:rPr>
          <w:rFonts w:ascii="Times New Roman" w:hAnsi="Times New Roman" w:cs="Times New Roman"/>
          <w:sz w:val="24"/>
          <w:szCs w:val="24"/>
        </w:rPr>
        <w:t>Powell</w:t>
      </w:r>
      <w:r w:rsidR="00BD3310" w:rsidRPr="00550113">
        <w:rPr>
          <w:rFonts w:ascii="Times New Roman" w:hAnsi="Times New Roman" w:cs="Times New Roman"/>
          <w:sz w:val="24"/>
          <w:szCs w:val="24"/>
        </w:rPr>
        <w:t xml:space="preserve"> was appointed the CEO. 2013, saw the company acquire Shiel medical Laboratory consequently expanding its operational services to the New York </w:t>
      </w:r>
      <w:r w:rsidR="00753E23" w:rsidRPr="00550113">
        <w:rPr>
          <w:rFonts w:ascii="Times New Roman" w:hAnsi="Times New Roman" w:cs="Times New Roman"/>
          <w:sz w:val="24"/>
          <w:szCs w:val="24"/>
        </w:rPr>
        <w:t>City</w:t>
      </w:r>
      <w:r w:rsidR="00BD3310" w:rsidRPr="00550113">
        <w:rPr>
          <w:rFonts w:ascii="Times New Roman" w:hAnsi="Times New Roman" w:cs="Times New Roman"/>
          <w:sz w:val="24"/>
          <w:szCs w:val="24"/>
        </w:rPr>
        <w:t xml:space="preserve"> metro area. However, in 2017, it sold this business to Quest Diagnostics.  In </w:t>
      </w:r>
      <w:r w:rsidR="00753E23" w:rsidRPr="00550113">
        <w:rPr>
          <w:rFonts w:ascii="Times New Roman" w:hAnsi="Times New Roman" w:cs="Times New Roman"/>
          <w:sz w:val="24"/>
          <w:szCs w:val="24"/>
        </w:rPr>
        <w:t>early 2019</w:t>
      </w:r>
      <w:r w:rsidR="00BD3310" w:rsidRPr="00550113">
        <w:rPr>
          <w:rFonts w:ascii="Times New Roman" w:hAnsi="Times New Roman" w:cs="Times New Roman"/>
          <w:sz w:val="24"/>
          <w:szCs w:val="24"/>
        </w:rPr>
        <w:t xml:space="preserve">, it acquired the </w:t>
      </w:r>
      <w:r w:rsidR="00753E23" w:rsidRPr="00550113">
        <w:rPr>
          <w:rFonts w:ascii="Times New Roman" w:hAnsi="Times New Roman" w:cs="Times New Roman"/>
          <w:sz w:val="24"/>
          <w:szCs w:val="24"/>
        </w:rPr>
        <w:t>Stage</w:t>
      </w:r>
      <w:r w:rsidR="00BD3310" w:rsidRPr="00550113">
        <w:rPr>
          <w:rFonts w:ascii="Times New Roman" w:hAnsi="Times New Roman" w:cs="Times New Roman"/>
          <w:sz w:val="24"/>
          <w:szCs w:val="24"/>
        </w:rPr>
        <w:t xml:space="preserve"> </w:t>
      </w:r>
      <w:r w:rsidR="00753E23" w:rsidRPr="00550113">
        <w:rPr>
          <w:rFonts w:ascii="Times New Roman" w:hAnsi="Times New Roman" w:cs="Times New Roman"/>
          <w:sz w:val="24"/>
          <w:szCs w:val="24"/>
        </w:rPr>
        <w:t>which</w:t>
      </w:r>
      <w:r w:rsidR="00BD3310" w:rsidRPr="00550113">
        <w:rPr>
          <w:rFonts w:ascii="Times New Roman" w:hAnsi="Times New Roman" w:cs="Times New Roman"/>
          <w:sz w:val="24"/>
          <w:szCs w:val="24"/>
        </w:rPr>
        <w:t xml:space="preserve"> the U.S.-based maker of in-home </w:t>
      </w:r>
      <w:r w:rsidR="00753E23" w:rsidRPr="00550113">
        <w:rPr>
          <w:rFonts w:ascii="Times New Roman" w:hAnsi="Times New Roman" w:cs="Times New Roman"/>
          <w:sz w:val="24"/>
          <w:szCs w:val="24"/>
        </w:rPr>
        <w:t>dialysis</w:t>
      </w:r>
      <w:r w:rsidR="00BD3310" w:rsidRPr="00550113">
        <w:rPr>
          <w:rFonts w:ascii="Times New Roman" w:hAnsi="Times New Roman" w:cs="Times New Roman"/>
          <w:sz w:val="24"/>
          <w:szCs w:val="24"/>
        </w:rPr>
        <w:t xml:space="preserve"> </w:t>
      </w:r>
      <w:r w:rsidR="00753E23" w:rsidRPr="00550113">
        <w:rPr>
          <w:rFonts w:ascii="Times New Roman" w:hAnsi="Times New Roman" w:cs="Times New Roman"/>
          <w:sz w:val="24"/>
          <w:szCs w:val="24"/>
        </w:rPr>
        <w:t>devices</w:t>
      </w:r>
      <w:r w:rsidR="00BD3310" w:rsidRPr="00550113">
        <w:rPr>
          <w:rFonts w:ascii="Times New Roman" w:hAnsi="Times New Roman" w:cs="Times New Roman"/>
          <w:sz w:val="24"/>
          <w:szCs w:val="24"/>
        </w:rPr>
        <w:t xml:space="preserve"> for $2 </w:t>
      </w:r>
      <w:r w:rsidR="00753E23" w:rsidRPr="00550113">
        <w:rPr>
          <w:rFonts w:ascii="Times New Roman" w:hAnsi="Times New Roman" w:cs="Times New Roman"/>
          <w:sz w:val="24"/>
          <w:szCs w:val="24"/>
        </w:rPr>
        <w:t>billion</w:t>
      </w:r>
      <w:r w:rsidR="00BD3310" w:rsidRPr="00550113">
        <w:rPr>
          <w:rFonts w:ascii="Times New Roman" w:hAnsi="Times New Roman" w:cs="Times New Roman"/>
          <w:sz w:val="24"/>
          <w:szCs w:val="24"/>
        </w:rPr>
        <w:t>.</w:t>
      </w:r>
    </w:p>
    <w:p w14:paraId="12DDEE1C" w14:textId="59D32CC7" w:rsidR="00BD3310"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This paper examines the effects of changes in all financial metrics on the proposed changes in the </w:t>
      </w:r>
      <w:r w:rsidR="00753E23" w:rsidRPr="00550113">
        <w:rPr>
          <w:rFonts w:ascii="Times New Roman" w:hAnsi="Times New Roman" w:cs="Times New Roman"/>
          <w:sz w:val="24"/>
          <w:szCs w:val="24"/>
        </w:rPr>
        <w:t>strategic</w:t>
      </w:r>
      <w:r w:rsidRPr="00550113">
        <w:rPr>
          <w:rFonts w:ascii="Times New Roman" w:hAnsi="Times New Roman" w:cs="Times New Roman"/>
          <w:sz w:val="24"/>
          <w:szCs w:val="24"/>
        </w:rPr>
        <w:t xml:space="preserve"> plan for the </w:t>
      </w:r>
      <w:hyperlink r:id="rId8" w:history="1">
        <w:r w:rsidRPr="00550113">
          <w:rPr>
            <w:rStyle w:val="Hyperlink"/>
            <w:rFonts w:ascii="Times New Roman" w:hAnsi="Times New Roman" w:cs="Times New Roman"/>
            <w:color w:val="auto"/>
            <w:sz w:val="24"/>
            <w:szCs w:val="24"/>
            <w:u w:val="none"/>
          </w:rPr>
          <w:t>Fresenius Medical Care AG and Company</w:t>
        </w:r>
      </w:hyperlink>
      <w:r w:rsidRPr="00550113">
        <w:rPr>
          <w:rFonts w:ascii="Times New Roman" w:hAnsi="Times New Roman" w:cs="Times New Roman"/>
          <w:sz w:val="24"/>
          <w:szCs w:val="24"/>
        </w:rPr>
        <w:t xml:space="preserve">. </w:t>
      </w:r>
      <w:r w:rsidR="00950882" w:rsidRPr="00550113">
        <w:rPr>
          <w:rFonts w:ascii="Times New Roman" w:hAnsi="Times New Roman" w:cs="Times New Roman"/>
          <w:sz w:val="24"/>
          <w:szCs w:val="24"/>
        </w:rPr>
        <w:t xml:space="preserve">The </w:t>
      </w:r>
      <w:r w:rsidR="00753E23" w:rsidRPr="00550113">
        <w:rPr>
          <w:rFonts w:ascii="Times New Roman" w:hAnsi="Times New Roman" w:cs="Times New Roman"/>
          <w:sz w:val="24"/>
          <w:szCs w:val="24"/>
        </w:rPr>
        <w:t>company’s</w:t>
      </w:r>
      <w:r w:rsidR="00950882" w:rsidRPr="00550113">
        <w:rPr>
          <w:rFonts w:ascii="Times New Roman" w:hAnsi="Times New Roman" w:cs="Times New Roman"/>
          <w:sz w:val="24"/>
          <w:szCs w:val="24"/>
        </w:rPr>
        <w:t xml:space="preserve"> primary objective is to consolidate its expertise as well as utilize such competence as a basis for </w:t>
      </w:r>
      <w:r w:rsidR="00950882" w:rsidRPr="00550113">
        <w:rPr>
          <w:rFonts w:ascii="Times New Roman" w:hAnsi="Times New Roman" w:cs="Times New Roman"/>
          <w:sz w:val="24"/>
          <w:szCs w:val="24"/>
        </w:rPr>
        <w:lastRenderedPageBreak/>
        <w:t xml:space="preserve">sustainable and profitable growth. </w:t>
      </w:r>
      <w:r w:rsidR="00720795" w:rsidRPr="00550113">
        <w:rPr>
          <w:rFonts w:ascii="Times New Roman" w:hAnsi="Times New Roman" w:cs="Times New Roman"/>
          <w:sz w:val="24"/>
          <w:szCs w:val="24"/>
        </w:rPr>
        <w:t xml:space="preserve">The institution's vision is to better patient's quality of life by providing high-quality products, innovative technologies as well as treatment concepts. </w:t>
      </w:r>
    </w:p>
    <w:p w14:paraId="48C51B30" w14:textId="4CB0CBE4" w:rsidR="002934A1" w:rsidRPr="00550113" w:rsidRDefault="002934A1" w:rsidP="00550113">
      <w:pPr>
        <w:spacing w:after="0" w:line="480" w:lineRule="auto"/>
        <w:rPr>
          <w:rFonts w:ascii="Times New Roman" w:hAnsi="Times New Roman" w:cs="Times New Roman"/>
          <w:sz w:val="24"/>
          <w:szCs w:val="24"/>
        </w:rPr>
      </w:pPr>
    </w:p>
    <w:p w14:paraId="3226300E" w14:textId="736847B4" w:rsidR="00224104"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Strategy 2025</w:t>
      </w:r>
    </w:p>
    <w:p w14:paraId="0293C186" w14:textId="7BA2C38F" w:rsidR="00224104" w:rsidRPr="00550113" w:rsidRDefault="00D078E3" w:rsidP="00550113">
      <w:pPr>
        <w:spacing w:after="0" w:line="480" w:lineRule="auto"/>
        <w:ind w:firstLine="720"/>
        <w:rPr>
          <w:rFonts w:ascii="Times New Roman" w:hAnsi="Times New Roman" w:cs="Times New Roman"/>
          <w:sz w:val="24"/>
          <w:szCs w:val="24"/>
        </w:rPr>
      </w:pPr>
      <w:hyperlink r:id="rId9" w:history="1">
        <w:r w:rsidR="00A67C1D" w:rsidRPr="00550113">
          <w:rPr>
            <w:rStyle w:val="Hyperlink"/>
            <w:rFonts w:ascii="Times New Roman" w:hAnsi="Times New Roman" w:cs="Times New Roman"/>
            <w:color w:val="auto"/>
            <w:sz w:val="24"/>
            <w:szCs w:val="24"/>
            <w:u w:val="none"/>
          </w:rPr>
          <w:t>Fresenius Medical Care AG and Company</w:t>
        </w:r>
      </w:hyperlink>
      <w:r w:rsidR="00A67C1D" w:rsidRPr="00550113">
        <w:rPr>
          <w:rFonts w:ascii="Times New Roman" w:hAnsi="Times New Roman" w:cs="Times New Roman"/>
          <w:sz w:val="24"/>
          <w:szCs w:val="24"/>
        </w:rPr>
        <w:t xml:space="preserve">. Is to better the worth living future amongst people. the company has a strong belief in the </w:t>
      </w:r>
      <w:r w:rsidR="00753E23" w:rsidRPr="00550113">
        <w:rPr>
          <w:rFonts w:ascii="Times New Roman" w:hAnsi="Times New Roman" w:cs="Times New Roman"/>
          <w:sz w:val="24"/>
          <w:szCs w:val="24"/>
        </w:rPr>
        <w:t>future</w:t>
      </w:r>
      <w:r w:rsidR="00A67C1D" w:rsidRPr="00550113">
        <w:rPr>
          <w:rFonts w:ascii="Times New Roman" w:hAnsi="Times New Roman" w:cs="Times New Roman"/>
          <w:sz w:val="24"/>
          <w:szCs w:val="24"/>
        </w:rPr>
        <w:t xml:space="preserve"> and the healthcare systems are bound to change.  </w:t>
      </w:r>
      <w:r w:rsidR="00753E23" w:rsidRPr="00550113">
        <w:rPr>
          <w:rFonts w:ascii="Times New Roman" w:hAnsi="Times New Roman" w:cs="Times New Roman"/>
          <w:sz w:val="24"/>
          <w:szCs w:val="24"/>
        </w:rPr>
        <w:t>However</w:t>
      </w:r>
      <w:r w:rsidR="00A67C1D" w:rsidRPr="00550113">
        <w:rPr>
          <w:rFonts w:ascii="Times New Roman" w:hAnsi="Times New Roman" w:cs="Times New Roman"/>
          <w:sz w:val="24"/>
          <w:szCs w:val="24"/>
        </w:rPr>
        <w:t>, numerous challenges face the sector amongst them aging population as well as the increase in the chronic diseases that are likely to modify the patient's dynamics.</w:t>
      </w:r>
    </w:p>
    <w:p w14:paraId="3F1BB40C" w14:textId="1DFC9E79" w:rsidR="00224104"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healthcare sector faces fragmented care, as well as human resources attached to the healthcare industry shortages, which have generated the urge for new solutions. </w:t>
      </w:r>
      <w:r w:rsidR="003F6997" w:rsidRPr="00550113">
        <w:rPr>
          <w:rFonts w:ascii="Times New Roman" w:hAnsi="Times New Roman" w:cs="Times New Roman"/>
          <w:sz w:val="24"/>
          <w:szCs w:val="24"/>
        </w:rPr>
        <w:t xml:space="preserve">Moreover, the healthcare </w:t>
      </w:r>
      <w:r w:rsidR="00753E23" w:rsidRPr="00550113">
        <w:rPr>
          <w:rFonts w:ascii="Times New Roman" w:hAnsi="Times New Roman" w:cs="Times New Roman"/>
          <w:sz w:val="24"/>
          <w:szCs w:val="24"/>
        </w:rPr>
        <w:t>cost</w:t>
      </w:r>
      <w:r w:rsidR="003F6997" w:rsidRPr="00550113">
        <w:rPr>
          <w:rFonts w:ascii="Times New Roman" w:hAnsi="Times New Roman" w:cs="Times New Roman"/>
          <w:sz w:val="24"/>
          <w:szCs w:val="24"/>
        </w:rPr>
        <w:t xml:space="preserve"> pressures, as well as the current limitations in the healthcare systems, advocate for the solutions that must be deeply rooted within the system level. Lastly, due to digitalization, the </w:t>
      </w:r>
      <w:r w:rsidR="00753E23" w:rsidRPr="00550113">
        <w:rPr>
          <w:rFonts w:ascii="Times New Roman" w:hAnsi="Times New Roman" w:cs="Times New Roman"/>
          <w:sz w:val="24"/>
          <w:szCs w:val="24"/>
        </w:rPr>
        <w:t>above-mentioned</w:t>
      </w:r>
      <w:r w:rsidR="003F6997" w:rsidRPr="00550113">
        <w:rPr>
          <w:rFonts w:ascii="Times New Roman" w:hAnsi="Times New Roman" w:cs="Times New Roman"/>
          <w:sz w:val="24"/>
          <w:szCs w:val="24"/>
        </w:rPr>
        <w:t xml:space="preserve"> data analytics, as well as artificial intelligence, have continuously disrupted the nature in which the service is delivered to the people.</w:t>
      </w:r>
    </w:p>
    <w:p w14:paraId="1FD6A906" w14:textId="1FB2331D" w:rsidR="003F6997"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company's core competencies play a significant role to find a solution to the challenges identified. The competencies include innovating products, operating outpatient facilities, standardizing medical procedures, and coordinating patients efficiently. The strategy 2025 is also enhanced to attract opportunities alongside mitigate the challenges. </w:t>
      </w:r>
    </w:p>
    <w:p w14:paraId="5A24D4D5" w14:textId="31CC5FDA" w:rsidR="003F6997"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The strategic focus</w:t>
      </w:r>
    </w:p>
    <w:p w14:paraId="0885FF32" w14:textId="658E06C3" w:rsidR="003F6997"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 has widely invested as well as managed to diversify the healthcare portfolio business with the main objective of creating value. </w:t>
      </w:r>
      <w:r w:rsidR="000630E1" w:rsidRPr="00550113">
        <w:rPr>
          <w:rFonts w:ascii="Times New Roman" w:hAnsi="Times New Roman" w:cs="Times New Roman"/>
          <w:sz w:val="24"/>
          <w:szCs w:val="24"/>
        </w:rPr>
        <w:t xml:space="preserve">Fresenius has diversified its operations in four business categories hence able to concentrate on the established healthcare </w:t>
      </w:r>
      <w:r w:rsidR="000630E1" w:rsidRPr="00550113">
        <w:rPr>
          <w:rFonts w:ascii="Times New Roman" w:hAnsi="Times New Roman" w:cs="Times New Roman"/>
          <w:sz w:val="24"/>
          <w:szCs w:val="24"/>
        </w:rPr>
        <w:lastRenderedPageBreak/>
        <w:t>areas. The company continues to take a leading position in the relevant healthcare market as well as the segments. The companies are driven by the following attributes;</w:t>
      </w:r>
    </w:p>
    <w:p w14:paraId="14A65B48" w14:textId="10ABD8B9" w:rsidR="000630E1" w:rsidRPr="00550113" w:rsidRDefault="00A67C1D" w:rsidP="00550113">
      <w:pPr>
        <w:pStyle w:val="ListParagraph"/>
        <w:numPr>
          <w:ilvl w:val="0"/>
          <w:numId w:val="1"/>
        </w:num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Profit from megatrends; It is a process that entails driving the business through the </w:t>
      </w:r>
      <w:r w:rsidR="00753E23" w:rsidRPr="00550113">
        <w:rPr>
          <w:rFonts w:ascii="Times New Roman" w:hAnsi="Times New Roman" w:cs="Times New Roman"/>
          <w:sz w:val="24"/>
          <w:szCs w:val="24"/>
        </w:rPr>
        <w:t>megatrend’s</w:t>
      </w:r>
      <w:r w:rsidRPr="00550113">
        <w:rPr>
          <w:rFonts w:ascii="Times New Roman" w:hAnsi="Times New Roman" w:cs="Times New Roman"/>
          <w:sz w:val="24"/>
          <w:szCs w:val="24"/>
        </w:rPr>
        <w:t xml:space="preserve"> health as well as demographics</w:t>
      </w:r>
    </w:p>
    <w:p w14:paraId="1DBAE153" w14:textId="20AF5B7A" w:rsidR="000630E1" w:rsidRPr="00550113" w:rsidRDefault="00A67C1D" w:rsidP="00550113">
      <w:pPr>
        <w:pStyle w:val="ListParagraph"/>
        <w:numPr>
          <w:ilvl w:val="0"/>
          <w:numId w:val="1"/>
        </w:num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Draft a value; It is a long-term value creation acquired through provisioning capital to the lucrative and profitable growth segments</w:t>
      </w:r>
    </w:p>
    <w:p w14:paraId="0B99938C" w14:textId="60BEF15B" w:rsidR="000630E1" w:rsidRPr="00550113" w:rsidRDefault="00A67C1D" w:rsidP="00550113">
      <w:pPr>
        <w:pStyle w:val="ListParagraph"/>
        <w:numPr>
          <w:ilvl w:val="0"/>
          <w:numId w:val="1"/>
        </w:num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Act responsibly; Fresenius maintains a commitment to the proper management as well as maintenance of the ethical business principles. </w:t>
      </w:r>
    </w:p>
    <w:p w14:paraId="01512EA4" w14:textId="637E1389" w:rsidR="00720795" w:rsidRPr="00550113" w:rsidRDefault="00A67C1D" w:rsidP="00550113">
      <w:pPr>
        <w:pStyle w:val="ListParagraph"/>
        <w:numPr>
          <w:ilvl w:val="0"/>
          <w:numId w:val="1"/>
        </w:num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Collaborate; It sets a stage for the drafting and intergroup cooperation to gain on the synergies.  </w:t>
      </w:r>
    </w:p>
    <w:p w14:paraId="718726D2" w14:textId="0274AD4D" w:rsidR="0099245A"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 </w:t>
      </w:r>
      <w:r w:rsidR="000630E1" w:rsidRPr="00550113">
        <w:rPr>
          <w:rFonts w:ascii="Times New Roman" w:hAnsi="Times New Roman" w:cs="Times New Roman"/>
          <w:sz w:val="24"/>
          <w:szCs w:val="24"/>
        </w:rPr>
        <w:t>Fresen</w:t>
      </w:r>
      <w:r w:rsidR="00795597" w:rsidRPr="00550113">
        <w:rPr>
          <w:rFonts w:ascii="Times New Roman" w:hAnsi="Times New Roman" w:cs="Times New Roman"/>
          <w:sz w:val="24"/>
          <w:szCs w:val="24"/>
        </w:rPr>
        <w:t>ius financial outlook</w:t>
      </w:r>
    </w:p>
    <w:p w14:paraId="51291746" w14:textId="7E5FCAC5" w:rsidR="00795597"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 Board is charged with the responsibility of overseeing the company through the provision of adequate strategic as well as operational targets. It also evaluates the various financial significant performance indicators for the internal management based on IFRS. </w:t>
      </w:r>
    </w:p>
    <w:p w14:paraId="3BF2D7E2" w14:textId="5E4C2505" w:rsidR="00795597"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In 2020, there was the outbreak of the COVID-19 pandemic hence numerous business ventures were negatively affected financially. However, the 2020 financial outlook for Fresenius company is promising since they are improving on almost every aspect. </w:t>
      </w:r>
    </w:p>
    <w:p w14:paraId="59A98556" w14:textId="0FC77606" w:rsidR="004234DE"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Revenue</w:t>
      </w:r>
    </w:p>
    <w:p w14:paraId="502E7D78" w14:textId="720790AE" w:rsidR="0053387D"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Fresenius revenue has had a growth rate from mild to high but on a single digit.  The consolidated statement of income shows that in March 2020 the revenue received was 3594663 versus 3317308 euros in December 2019 in healthcare services. The revenue generated from the healthcare products was 894133 (March 2020) and 815249 (December 2019). The increase in the revenue generations reveals a positive growth rate for the company. An increase in the revenue </w:t>
      </w:r>
      <w:r w:rsidRPr="00550113">
        <w:rPr>
          <w:rFonts w:ascii="Times New Roman" w:hAnsi="Times New Roman" w:cs="Times New Roman"/>
          <w:sz w:val="24"/>
          <w:szCs w:val="24"/>
        </w:rPr>
        <w:lastRenderedPageBreak/>
        <w:t xml:space="preserve">also reveals that more consumers in this case patients had a surge in the demand for the healthcare services hence an increase in the income. </w:t>
      </w:r>
    </w:p>
    <w:p w14:paraId="27464E83" w14:textId="125A2B8A" w:rsidR="004234DE"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The payer mix effect </w:t>
      </w:r>
    </w:p>
    <w:p w14:paraId="2A350C88" w14:textId="0F6B96B3" w:rsidR="0053387D"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company has </w:t>
      </w:r>
      <w:r w:rsidR="00E16867" w:rsidRPr="00550113">
        <w:rPr>
          <w:rFonts w:ascii="Times New Roman" w:hAnsi="Times New Roman" w:cs="Times New Roman"/>
          <w:sz w:val="24"/>
          <w:szCs w:val="24"/>
        </w:rPr>
        <w:t xml:space="preserve">also allowed agreements on the Centers </w:t>
      </w:r>
      <w:r w:rsidR="00753E23" w:rsidRPr="00550113">
        <w:rPr>
          <w:rFonts w:ascii="Times New Roman" w:hAnsi="Times New Roman" w:cs="Times New Roman"/>
          <w:sz w:val="24"/>
          <w:szCs w:val="24"/>
        </w:rPr>
        <w:t>of Medicare</w:t>
      </w:r>
      <w:r w:rsidR="00E16867" w:rsidRPr="00550113">
        <w:rPr>
          <w:rFonts w:ascii="Times New Roman" w:hAnsi="Times New Roman" w:cs="Times New Roman"/>
          <w:sz w:val="24"/>
          <w:szCs w:val="24"/>
        </w:rPr>
        <w:t xml:space="preserve"> and Medicaid services </w:t>
      </w:r>
      <w:r w:rsidR="00506DB4" w:rsidRPr="00550113">
        <w:rPr>
          <w:rFonts w:ascii="Times New Roman" w:hAnsi="Times New Roman" w:cs="Times New Roman"/>
          <w:sz w:val="24"/>
          <w:szCs w:val="24"/>
        </w:rPr>
        <w:t>comprehensive</w:t>
      </w:r>
      <w:r w:rsidR="00E16867" w:rsidRPr="00550113">
        <w:rPr>
          <w:rFonts w:ascii="Times New Roman" w:hAnsi="Times New Roman" w:cs="Times New Roman"/>
          <w:sz w:val="24"/>
          <w:szCs w:val="24"/>
        </w:rPr>
        <w:t xml:space="preserve"> ERSD care model. The </w:t>
      </w:r>
      <w:r w:rsidR="0013348E" w:rsidRPr="00550113">
        <w:rPr>
          <w:rFonts w:ascii="Times New Roman" w:hAnsi="Times New Roman" w:cs="Times New Roman"/>
          <w:sz w:val="24"/>
          <w:szCs w:val="24"/>
        </w:rPr>
        <w:t>company</w:t>
      </w:r>
      <w:r w:rsidR="00E16867" w:rsidRPr="00550113">
        <w:rPr>
          <w:rFonts w:ascii="Times New Roman" w:hAnsi="Times New Roman" w:cs="Times New Roman"/>
          <w:sz w:val="24"/>
          <w:szCs w:val="24"/>
        </w:rPr>
        <w:t xml:space="preserve"> seeks to deliver </w:t>
      </w:r>
      <w:r w:rsidR="0013348E" w:rsidRPr="00550113">
        <w:rPr>
          <w:rFonts w:ascii="Times New Roman" w:hAnsi="Times New Roman" w:cs="Times New Roman"/>
          <w:sz w:val="24"/>
          <w:szCs w:val="24"/>
        </w:rPr>
        <w:t>improved</w:t>
      </w:r>
      <w:r w:rsidR="00E16867" w:rsidRPr="00550113">
        <w:rPr>
          <w:rFonts w:ascii="Times New Roman" w:hAnsi="Times New Roman" w:cs="Times New Roman"/>
          <w:sz w:val="24"/>
          <w:szCs w:val="24"/>
        </w:rPr>
        <w:t xml:space="preserve"> services for the </w:t>
      </w:r>
      <w:r w:rsidR="0013348E" w:rsidRPr="00550113">
        <w:rPr>
          <w:rFonts w:ascii="Times New Roman" w:hAnsi="Times New Roman" w:cs="Times New Roman"/>
          <w:sz w:val="24"/>
          <w:szCs w:val="24"/>
        </w:rPr>
        <w:t>Medicare</w:t>
      </w:r>
      <w:r w:rsidR="00E16867" w:rsidRPr="00550113">
        <w:rPr>
          <w:rFonts w:ascii="Times New Roman" w:hAnsi="Times New Roman" w:cs="Times New Roman"/>
          <w:sz w:val="24"/>
          <w:szCs w:val="24"/>
        </w:rPr>
        <w:t xml:space="preserve"> ESRD patients and reduce the centers for Medicare and Medicaid Services (CMS) costs. </w:t>
      </w:r>
    </w:p>
    <w:p w14:paraId="4A90DCF4" w14:textId="08478C0D" w:rsidR="00E16867"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payer mix </w:t>
      </w:r>
      <w:r w:rsidR="0013348E" w:rsidRPr="00550113">
        <w:rPr>
          <w:rFonts w:ascii="Times New Roman" w:hAnsi="Times New Roman" w:cs="Times New Roman"/>
          <w:sz w:val="24"/>
          <w:szCs w:val="24"/>
        </w:rPr>
        <w:t>percentage is</w:t>
      </w:r>
      <w:r w:rsidRPr="00550113">
        <w:rPr>
          <w:rFonts w:ascii="Times New Roman" w:hAnsi="Times New Roman" w:cs="Times New Roman"/>
          <w:sz w:val="24"/>
          <w:szCs w:val="24"/>
        </w:rPr>
        <w:t xml:space="preserve"> derived by taking the total payments for the financial category, provider, service location, and payer and dividing it by taking the total amount of the payments put forward for the whole search results. </w:t>
      </w:r>
      <w:r w:rsidR="0013348E" w:rsidRPr="00550113">
        <w:rPr>
          <w:rFonts w:ascii="Times New Roman" w:hAnsi="Times New Roman" w:cs="Times New Roman"/>
          <w:sz w:val="24"/>
          <w:szCs w:val="24"/>
        </w:rPr>
        <w:t xml:space="preserve"> A change in the payer mix from 50% </w:t>
      </w:r>
      <w:r w:rsidR="00753E23" w:rsidRPr="00550113">
        <w:rPr>
          <w:rFonts w:ascii="Times New Roman" w:hAnsi="Times New Roman" w:cs="Times New Roman"/>
          <w:sz w:val="24"/>
          <w:szCs w:val="24"/>
        </w:rPr>
        <w:t>Medicare</w:t>
      </w:r>
      <w:r w:rsidR="0013348E" w:rsidRPr="00550113">
        <w:rPr>
          <w:rFonts w:ascii="Times New Roman" w:hAnsi="Times New Roman" w:cs="Times New Roman"/>
          <w:sz w:val="24"/>
          <w:szCs w:val="24"/>
        </w:rPr>
        <w:t xml:space="preserve"> and 5</w:t>
      </w:r>
      <w:r w:rsidR="00753E23" w:rsidRPr="00550113">
        <w:rPr>
          <w:rFonts w:ascii="Times New Roman" w:hAnsi="Times New Roman" w:cs="Times New Roman"/>
          <w:sz w:val="24"/>
          <w:szCs w:val="24"/>
        </w:rPr>
        <w:t>% Medicaid</w:t>
      </w:r>
      <w:r w:rsidR="0013348E" w:rsidRPr="00550113">
        <w:rPr>
          <w:rFonts w:ascii="Times New Roman" w:hAnsi="Times New Roman" w:cs="Times New Roman"/>
          <w:sz w:val="24"/>
          <w:szCs w:val="24"/>
        </w:rPr>
        <w:t xml:space="preserve"> patients to 70 % </w:t>
      </w:r>
      <w:r w:rsidR="00506DB4" w:rsidRPr="00550113">
        <w:rPr>
          <w:rFonts w:ascii="Times New Roman" w:hAnsi="Times New Roman" w:cs="Times New Roman"/>
          <w:sz w:val="24"/>
          <w:szCs w:val="24"/>
        </w:rPr>
        <w:t>Medicare</w:t>
      </w:r>
      <w:r w:rsidR="0013348E" w:rsidRPr="00550113">
        <w:rPr>
          <w:rFonts w:ascii="Times New Roman" w:hAnsi="Times New Roman" w:cs="Times New Roman"/>
          <w:sz w:val="24"/>
          <w:szCs w:val="24"/>
        </w:rPr>
        <w:t xml:space="preserve"> and 10% Medicaid in </w:t>
      </w:r>
      <w:r w:rsidR="00506DB4" w:rsidRPr="00550113">
        <w:rPr>
          <w:rFonts w:ascii="Times New Roman" w:hAnsi="Times New Roman" w:cs="Times New Roman"/>
          <w:sz w:val="24"/>
          <w:szCs w:val="24"/>
        </w:rPr>
        <w:t xml:space="preserve">one year would have a drastic effect on the finance of the company. </w:t>
      </w:r>
      <w:r w:rsidR="00B173CA" w:rsidRPr="00550113">
        <w:rPr>
          <w:rFonts w:ascii="Times New Roman" w:hAnsi="Times New Roman" w:cs="Times New Roman"/>
          <w:sz w:val="24"/>
          <w:szCs w:val="24"/>
        </w:rPr>
        <w:t xml:space="preserve">A healthcare facility is run by patients that are majorly on private insurance coverage. It is crucial since the hospital's financial health would affect influencing the quality of care as well as the patient outcomes. </w:t>
      </w:r>
      <w:r w:rsidR="000C78EA" w:rsidRPr="00550113">
        <w:rPr>
          <w:rFonts w:ascii="Times New Roman" w:hAnsi="Times New Roman" w:cs="Times New Roman"/>
          <w:sz w:val="24"/>
          <w:szCs w:val="24"/>
        </w:rPr>
        <w:t xml:space="preserve">An increase in Medicare by 20% and Medicaid by 5 % significantly decreases the private insurance financing. The </w:t>
      </w:r>
      <w:r w:rsidR="00E76877" w:rsidRPr="00550113">
        <w:rPr>
          <w:rFonts w:ascii="Times New Roman" w:hAnsi="Times New Roman" w:cs="Times New Roman"/>
          <w:sz w:val="24"/>
          <w:szCs w:val="24"/>
        </w:rPr>
        <w:t>Medicare</w:t>
      </w:r>
      <w:r w:rsidR="000C78EA" w:rsidRPr="00550113">
        <w:rPr>
          <w:rFonts w:ascii="Times New Roman" w:hAnsi="Times New Roman" w:cs="Times New Roman"/>
          <w:sz w:val="24"/>
          <w:szCs w:val="24"/>
        </w:rPr>
        <w:t xml:space="preserve"> facility is granted to the American people </w:t>
      </w:r>
      <w:r w:rsidR="00E76877" w:rsidRPr="00550113">
        <w:rPr>
          <w:rFonts w:ascii="Times New Roman" w:hAnsi="Times New Roman" w:cs="Times New Roman"/>
          <w:sz w:val="24"/>
          <w:szCs w:val="24"/>
        </w:rPr>
        <w:t>aged</w:t>
      </w:r>
      <w:r w:rsidR="000C78EA" w:rsidRPr="00550113">
        <w:rPr>
          <w:rFonts w:ascii="Times New Roman" w:hAnsi="Times New Roman" w:cs="Times New Roman"/>
          <w:sz w:val="24"/>
          <w:szCs w:val="24"/>
        </w:rPr>
        <w:t xml:space="preserve"> 65 years and above and eligible for the </w:t>
      </w:r>
      <w:r w:rsidR="00294AD5" w:rsidRPr="00550113">
        <w:rPr>
          <w:rFonts w:ascii="Times New Roman" w:hAnsi="Times New Roman" w:cs="Times New Roman"/>
          <w:sz w:val="24"/>
          <w:szCs w:val="24"/>
        </w:rPr>
        <w:t xml:space="preserve">program. The </w:t>
      </w:r>
      <w:r w:rsidR="00E76877" w:rsidRPr="00550113">
        <w:rPr>
          <w:rFonts w:ascii="Times New Roman" w:hAnsi="Times New Roman" w:cs="Times New Roman"/>
          <w:sz w:val="24"/>
          <w:szCs w:val="24"/>
        </w:rPr>
        <w:t>ineligible</w:t>
      </w:r>
      <w:r w:rsidR="00294AD5" w:rsidRPr="00550113">
        <w:rPr>
          <w:rFonts w:ascii="Times New Roman" w:hAnsi="Times New Roman" w:cs="Times New Roman"/>
          <w:sz w:val="24"/>
          <w:szCs w:val="24"/>
        </w:rPr>
        <w:t xml:space="preserve"> parties can acquire </w:t>
      </w:r>
      <w:r w:rsidR="001976F5" w:rsidRPr="00550113">
        <w:rPr>
          <w:rFonts w:ascii="Times New Roman" w:hAnsi="Times New Roman" w:cs="Times New Roman"/>
          <w:sz w:val="24"/>
          <w:szCs w:val="24"/>
        </w:rPr>
        <w:t>Medicare</w:t>
      </w:r>
      <w:r w:rsidR="00294AD5" w:rsidRPr="00550113">
        <w:rPr>
          <w:rFonts w:ascii="Times New Roman" w:hAnsi="Times New Roman" w:cs="Times New Roman"/>
          <w:sz w:val="24"/>
          <w:szCs w:val="24"/>
        </w:rPr>
        <w:t xml:space="preserve"> part A </w:t>
      </w:r>
      <w:r w:rsidR="00E76877" w:rsidRPr="00550113">
        <w:rPr>
          <w:rFonts w:ascii="Times New Roman" w:hAnsi="Times New Roman" w:cs="Times New Roman"/>
          <w:sz w:val="24"/>
          <w:szCs w:val="24"/>
        </w:rPr>
        <w:t>provided</w:t>
      </w:r>
      <w:r w:rsidR="00294AD5" w:rsidRPr="00550113">
        <w:rPr>
          <w:rFonts w:ascii="Times New Roman" w:hAnsi="Times New Roman" w:cs="Times New Roman"/>
          <w:sz w:val="24"/>
          <w:szCs w:val="24"/>
        </w:rPr>
        <w:t xml:space="preserve"> they pay the monthly premiums</w:t>
      </w:r>
      <w:r w:rsidR="00333F3B">
        <w:rPr>
          <w:rFonts w:ascii="Times New Roman" w:hAnsi="Times New Roman" w:cs="Times New Roman"/>
          <w:sz w:val="24"/>
          <w:szCs w:val="24"/>
        </w:rPr>
        <w:t xml:space="preserve"> (</w:t>
      </w:r>
      <w:r w:rsidR="00333F3B" w:rsidRPr="00333F3B">
        <w:rPr>
          <w:rFonts w:ascii="Times New Roman" w:eastAsia="Times New Roman" w:hAnsi="Times New Roman" w:cs="Times New Roman"/>
          <w:sz w:val="24"/>
          <w:szCs w:val="24"/>
        </w:rPr>
        <w:t xml:space="preserve">Nikpay, </w:t>
      </w:r>
      <w:r w:rsidR="00333F3B">
        <w:rPr>
          <w:rFonts w:ascii="Times New Roman" w:eastAsia="Times New Roman" w:hAnsi="Times New Roman" w:cs="Times New Roman"/>
          <w:sz w:val="24"/>
          <w:szCs w:val="24"/>
        </w:rPr>
        <w:t xml:space="preserve">et al. </w:t>
      </w:r>
      <w:r w:rsidR="00333F3B" w:rsidRPr="00333F3B">
        <w:rPr>
          <w:rFonts w:ascii="Times New Roman" w:eastAsia="Times New Roman" w:hAnsi="Times New Roman" w:cs="Times New Roman"/>
          <w:sz w:val="24"/>
          <w:szCs w:val="24"/>
        </w:rPr>
        <w:t>2017).</w:t>
      </w:r>
    </w:p>
    <w:p w14:paraId="66FE6A17" w14:textId="5BFB4973" w:rsidR="00472268"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Medicaid patients are often exposed to different treatment conditions compared to the patients utilizing their private insurance. It is because of their inability to access similar quality the providers are able and willing to accept them alongside disparate program reimbursement rates and at the same time the service providers unable to recapture the lost payments for the beneficiaries. </w:t>
      </w:r>
      <w:r w:rsidR="001976F5" w:rsidRPr="00550113">
        <w:rPr>
          <w:rFonts w:ascii="Times New Roman" w:hAnsi="Times New Roman" w:cs="Times New Roman"/>
          <w:sz w:val="24"/>
          <w:szCs w:val="24"/>
        </w:rPr>
        <w:t xml:space="preserve">The public, as well as the private reimbursement rates, have </w:t>
      </w:r>
      <w:r w:rsidR="001976F5" w:rsidRPr="00550113">
        <w:rPr>
          <w:rFonts w:ascii="Times New Roman" w:hAnsi="Times New Roman" w:cs="Times New Roman"/>
          <w:sz w:val="24"/>
          <w:szCs w:val="24"/>
        </w:rPr>
        <w:lastRenderedPageBreak/>
        <w:t xml:space="preserve">diverged over time, The Medicaid reimbursements levels in the hospitals are generally higher than the Medicaid when </w:t>
      </w:r>
      <w:r w:rsidR="00753E23" w:rsidRPr="00550113">
        <w:rPr>
          <w:rFonts w:ascii="Times New Roman" w:hAnsi="Times New Roman" w:cs="Times New Roman"/>
          <w:sz w:val="24"/>
          <w:szCs w:val="24"/>
        </w:rPr>
        <w:t>the</w:t>
      </w:r>
      <w:r w:rsidR="001976F5" w:rsidRPr="00550113">
        <w:rPr>
          <w:rFonts w:ascii="Times New Roman" w:hAnsi="Times New Roman" w:cs="Times New Roman"/>
          <w:sz w:val="24"/>
          <w:szCs w:val="24"/>
        </w:rPr>
        <w:t xml:space="preserve"> supplemental payments are factored towards the Medicaid payments.</w:t>
      </w:r>
    </w:p>
    <w:p w14:paraId="1000A0F6" w14:textId="2BECA07C" w:rsidR="001976F5"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Professional turnover  </w:t>
      </w:r>
    </w:p>
    <w:p w14:paraId="2FD57BB5" w14:textId="4399D8D5" w:rsidR="001976F5"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The company experiences a professional turnover from 5 % to 10 % annually</w:t>
      </w:r>
      <w:r w:rsidR="00B006C2" w:rsidRPr="00550113">
        <w:rPr>
          <w:rFonts w:ascii="Times New Roman" w:hAnsi="Times New Roman" w:cs="Times New Roman"/>
          <w:sz w:val="24"/>
          <w:szCs w:val="24"/>
        </w:rPr>
        <w:t xml:space="preserve"> has a direct impact on the organization's employee's productivity. The increase in 5 % </w:t>
      </w:r>
      <w:r w:rsidR="00D12134" w:rsidRPr="00550113">
        <w:rPr>
          <w:rFonts w:ascii="Times New Roman" w:hAnsi="Times New Roman" w:cs="Times New Roman"/>
          <w:sz w:val="24"/>
          <w:szCs w:val="24"/>
        </w:rPr>
        <w:t>turnover</w:t>
      </w:r>
      <w:r w:rsidR="00B006C2" w:rsidRPr="00550113">
        <w:rPr>
          <w:rFonts w:ascii="Times New Roman" w:hAnsi="Times New Roman" w:cs="Times New Roman"/>
          <w:sz w:val="24"/>
          <w:szCs w:val="24"/>
        </w:rPr>
        <w:t xml:space="preserve"> affects the organization negatively since the organization would experience a high number of employees inexperienced and eventually lower the employee productivity. The organization would be required to incur costs to deal hire new employees, training and recruiting new staff. The organization would be forced to incur costs otherwise it would lose the opportunity to generate more money. </w:t>
      </w:r>
    </w:p>
    <w:p w14:paraId="1B97B117" w14:textId="355F02A9" w:rsidR="00A44B7B"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Demand for the services increases in the 20% </w:t>
      </w:r>
    </w:p>
    <w:p w14:paraId="5950555D" w14:textId="44434D01" w:rsidR="0099245A" w:rsidRPr="00550113" w:rsidRDefault="00A67C1D" w:rsidP="00333F3B">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Organizations across the globe want to grow </w:t>
      </w:r>
      <w:r w:rsidR="0072287E" w:rsidRPr="00550113">
        <w:rPr>
          <w:rFonts w:ascii="Times New Roman" w:hAnsi="Times New Roman" w:cs="Times New Roman"/>
          <w:sz w:val="24"/>
          <w:szCs w:val="24"/>
        </w:rPr>
        <w:t xml:space="preserve">the demand for their services since it would generate high income for the firm. Fresenius saw an increase in the income received from the services rendered and products provided as attributed to the increase in the demand for the goods and services. </w:t>
      </w:r>
    </w:p>
    <w:p w14:paraId="7E065F70" w14:textId="15B591E9" w:rsidR="009C0BE8"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 Table 1 Comprehensive income statement </w:t>
      </w:r>
    </w:p>
    <w:tbl>
      <w:tblPr>
        <w:tblStyle w:val="TableGrid"/>
        <w:tblW w:w="9586" w:type="dxa"/>
        <w:tblLook w:val="04A0" w:firstRow="1" w:lastRow="0" w:firstColumn="1" w:lastColumn="0" w:noHBand="0" w:noVBand="1"/>
      </w:tblPr>
      <w:tblGrid>
        <w:gridCol w:w="5566"/>
        <w:gridCol w:w="1456"/>
        <w:gridCol w:w="1541"/>
        <w:gridCol w:w="1296"/>
      </w:tblGrid>
      <w:tr w:rsidR="00424970" w14:paraId="7FE27D54" w14:textId="77777777" w:rsidTr="00753E23">
        <w:trPr>
          <w:trHeight w:val="290"/>
        </w:trPr>
        <w:tc>
          <w:tcPr>
            <w:tcW w:w="5566" w:type="dxa"/>
            <w:noWrap/>
            <w:hideMark/>
          </w:tcPr>
          <w:p w14:paraId="36266976"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Fresenius Medical care </w:t>
            </w:r>
          </w:p>
        </w:tc>
        <w:tc>
          <w:tcPr>
            <w:tcW w:w="1305" w:type="dxa"/>
            <w:noWrap/>
            <w:hideMark/>
          </w:tcPr>
          <w:p w14:paraId="7AA8A9CF" w14:textId="77777777" w:rsidR="009C0BE8" w:rsidRPr="00550113" w:rsidRDefault="009C0BE8" w:rsidP="00550113">
            <w:pPr>
              <w:spacing w:line="480" w:lineRule="auto"/>
              <w:rPr>
                <w:rFonts w:ascii="Times New Roman" w:hAnsi="Times New Roman" w:cs="Times New Roman"/>
                <w:sz w:val="24"/>
                <w:szCs w:val="24"/>
              </w:rPr>
            </w:pPr>
          </w:p>
        </w:tc>
        <w:tc>
          <w:tcPr>
            <w:tcW w:w="1541" w:type="dxa"/>
            <w:noWrap/>
            <w:hideMark/>
          </w:tcPr>
          <w:p w14:paraId="33875127" w14:textId="77777777" w:rsidR="009C0BE8" w:rsidRPr="00550113" w:rsidRDefault="009C0BE8" w:rsidP="00550113">
            <w:pPr>
              <w:spacing w:line="480" w:lineRule="auto"/>
              <w:rPr>
                <w:rFonts w:ascii="Times New Roman" w:hAnsi="Times New Roman" w:cs="Times New Roman"/>
                <w:sz w:val="24"/>
                <w:szCs w:val="24"/>
              </w:rPr>
            </w:pPr>
          </w:p>
        </w:tc>
        <w:tc>
          <w:tcPr>
            <w:tcW w:w="1174" w:type="dxa"/>
            <w:noWrap/>
            <w:hideMark/>
          </w:tcPr>
          <w:p w14:paraId="69410ED2" w14:textId="77777777" w:rsidR="009C0BE8" w:rsidRPr="00550113" w:rsidRDefault="009C0BE8" w:rsidP="00550113">
            <w:pPr>
              <w:spacing w:line="480" w:lineRule="auto"/>
              <w:rPr>
                <w:rFonts w:ascii="Times New Roman" w:hAnsi="Times New Roman" w:cs="Times New Roman"/>
                <w:sz w:val="24"/>
                <w:szCs w:val="24"/>
              </w:rPr>
            </w:pPr>
          </w:p>
        </w:tc>
      </w:tr>
      <w:tr w:rsidR="00424970" w14:paraId="3A34DE48" w14:textId="77777777" w:rsidTr="00753E23">
        <w:trPr>
          <w:trHeight w:val="290"/>
        </w:trPr>
        <w:tc>
          <w:tcPr>
            <w:tcW w:w="5566" w:type="dxa"/>
            <w:noWrap/>
            <w:hideMark/>
          </w:tcPr>
          <w:p w14:paraId="2EEF071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consolidated statement of comprehensive income</w:t>
            </w:r>
          </w:p>
        </w:tc>
        <w:tc>
          <w:tcPr>
            <w:tcW w:w="1305" w:type="dxa"/>
            <w:noWrap/>
            <w:hideMark/>
          </w:tcPr>
          <w:p w14:paraId="22EEBAEB" w14:textId="77777777" w:rsidR="009C0BE8" w:rsidRPr="00550113" w:rsidRDefault="009C0BE8" w:rsidP="00550113">
            <w:pPr>
              <w:spacing w:line="480" w:lineRule="auto"/>
              <w:rPr>
                <w:rFonts w:ascii="Times New Roman" w:hAnsi="Times New Roman" w:cs="Times New Roman"/>
                <w:sz w:val="24"/>
                <w:szCs w:val="24"/>
              </w:rPr>
            </w:pPr>
          </w:p>
        </w:tc>
        <w:tc>
          <w:tcPr>
            <w:tcW w:w="1541" w:type="dxa"/>
            <w:noWrap/>
            <w:hideMark/>
          </w:tcPr>
          <w:p w14:paraId="3B859580" w14:textId="77777777" w:rsidR="009C0BE8" w:rsidRPr="00550113" w:rsidRDefault="009C0BE8" w:rsidP="00550113">
            <w:pPr>
              <w:spacing w:line="480" w:lineRule="auto"/>
              <w:rPr>
                <w:rFonts w:ascii="Times New Roman" w:hAnsi="Times New Roman" w:cs="Times New Roman"/>
                <w:sz w:val="24"/>
                <w:szCs w:val="24"/>
              </w:rPr>
            </w:pPr>
          </w:p>
        </w:tc>
        <w:tc>
          <w:tcPr>
            <w:tcW w:w="1174" w:type="dxa"/>
            <w:noWrap/>
            <w:hideMark/>
          </w:tcPr>
          <w:p w14:paraId="0EC517F6" w14:textId="77777777" w:rsidR="009C0BE8" w:rsidRPr="00550113" w:rsidRDefault="009C0BE8" w:rsidP="00550113">
            <w:pPr>
              <w:spacing w:line="480" w:lineRule="auto"/>
              <w:rPr>
                <w:rFonts w:ascii="Times New Roman" w:hAnsi="Times New Roman" w:cs="Times New Roman"/>
                <w:sz w:val="24"/>
                <w:szCs w:val="24"/>
              </w:rPr>
            </w:pPr>
          </w:p>
        </w:tc>
      </w:tr>
      <w:tr w:rsidR="00424970" w14:paraId="120F9E10" w14:textId="77777777" w:rsidTr="00753E23">
        <w:trPr>
          <w:trHeight w:val="290"/>
        </w:trPr>
        <w:tc>
          <w:tcPr>
            <w:tcW w:w="5566" w:type="dxa"/>
            <w:noWrap/>
            <w:hideMark/>
          </w:tcPr>
          <w:p w14:paraId="1940468D" w14:textId="77777777" w:rsidR="009C0BE8" w:rsidRPr="00550113" w:rsidRDefault="009C0BE8" w:rsidP="00550113">
            <w:pPr>
              <w:spacing w:line="480" w:lineRule="auto"/>
              <w:rPr>
                <w:rFonts w:ascii="Times New Roman" w:hAnsi="Times New Roman" w:cs="Times New Roman"/>
                <w:sz w:val="24"/>
                <w:szCs w:val="24"/>
              </w:rPr>
            </w:pPr>
          </w:p>
        </w:tc>
        <w:tc>
          <w:tcPr>
            <w:tcW w:w="1305" w:type="dxa"/>
            <w:noWrap/>
            <w:hideMark/>
          </w:tcPr>
          <w:p w14:paraId="51DF5342"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Sep-20</w:t>
            </w:r>
          </w:p>
        </w:tc>
        <w:tc>
          <w:tcPr>
            <w:tcW w:w="1541" w:type="dxa"/>
            <w:noWrap/>
            <w:hideMark/>
          </w:tcPr>
          <w:p w14:paraId="7F89E21D"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Jun-20</w:t>
            </w:r>
          </w:p>
        </w:tc>
        <w:tc>
          <w:tcPr>
            <w:tcW w:w="1174" w:type="dxa"/>
            <w:noWrap/>
            <w:hideMark/>
          </w:tcPr>
          <w:p w14:paraId="67B47C4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Mar-20</w:t>
            </w:r>
          </w:p>
        </w:tc>
      </w:tr>
      <w:tr w:rsidR="00424970" w14:paraId="303B1006" w14:textId="77777777" w:rsidTr="00753E23">
        <w:trPr>
          <w:trHeight w:val="290"/>
        </w:trPr>
        <w:tc>
          <w:tcPr>
            <w:tcW w:w="5566" w:type="dxa"/>
            <w:noWrap/>
            <w:hideMark/>
          </w:tcPr>
          <w:p w14:paraId="7C2F741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Net income</w:t>
            </w:r>
          </w:p>
        </w:tc>
        <w:tc>
          <w:tcPr>
            <w:tcW w:w="1305" w:type="dxa"/>
            <w:noWrap/>
            <w:hideMark/>
          </w:tcPr>
          <w:p w14:paraId="4386BED3"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419,746.00 </w:t>
            </w:r>
          </w:p>
        </w:tc>
        <w:tc>
          <w:tcPr>
            <w:tcW w:w="1541" w:type="dxa"/>
            <w:noWrap/>
            <w:hideMark/>
          </w:tcPr>
          <w:p w14:paraId="23537E58"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426,916.00 </w:t>
            </w:r>
          </w:p>
        </w:tc>
        <w:tc>
          <w:tcPr>
            <w:tcW w:w="1174" w:type="dxa"/>
            <w:noWrap/>
            <w:hideMark/>
          </w:tcPr>
          <w:p w14:paraId="5522B9B4"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350,369.00 </w:t>
            </w:r>
          </w:p>
        </w:tc>
      </w:tr>
      <w:tr w:rsidR="00424970" w14:paraId="5AB315E5" w14:textId="77777777" w:rsidTr="00753E23">
        <w:trPr>
          <w:trHeight w:val="290"/>
        </w:trPr>
        <w:tc>
          <w:tcPr>
            <w:tcW w:w="5566" w:type="dxa"/>
            <w:noWrap/>
            <w:hideMark/>
          </w:tcPr>
          <w:p w14:paraId="64E283A7"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Other comprehensive income (loss):</w:t>
            </w:r>
          </w:p>
        </w:tc>
        <w:tc>
          <w:tcPr>
            <w:tcW w:w="1305" w:type="dxa"/>
            <w:noWrap/>
            <w:hideMark/>
          </w:tcPr>
          <w:p w14:paraId="60E196D3" w14:textId="77777777" w:rsidR="009C0BE8" w:rsidRPr="00550113" w:rsidRDefault="009C0BE8" w:rsidP="00550113">
            <w:pPr>
              <w:spacing w:line="480" w:lineRule="auto"/>
              <w:rPr>
                <w:rFonts w:ascii="Times New Roman" w:hAnsi="Times New Roman" w:cs="Times New Roman"/>
                <w:sz w:val="24"/>
                <w:szCs w:val="24"/>
              </w:rPr>
            </w:pPr>
          </w:p>
        </w:tc>
        <w:tc>
          <w:tcPr>
            <w:tcW w:w="1541" w:type="dxa"/>
            <w:noWrap/>
            <w:hideMark/>
          </w:tcPr>
          <w:p w14:paraId="496411D7" w14:textId="77777777" w:rsidR="009C0BE8" w:rsidRPr="00550113" w:rsidRDefault="009C0BE8" w:rsidP="00550113">
            <w:pPr>
              <w:spacing w:line="480" w:lineRule="auto"/>
              <w:rPr>
                <w:rFonts w:ascii="Times New Roman" w:hAnsi="Times New Roman" w:cs="Times New Roman"/>
                <w:sz w:val="24"/>
                <w:szCs w:val="24"/>
              </w:rPr>
            </w:pPr>
          </w:p>
        </w:tc>
        <w:tc>
          <w:tcPr>
            <w:tcW w:w="1174" w:type="dxa"/>
            <w:noWrap/>
            <w:hideMark/>
          </w:tcPr>
          <w:p w14:paraId="1F0D423E" w14:textId="77777777" w:rsidR="009C0BE8" w:rsidRPr="00550113" w:rsidRDefault="009C0BE8" w:rsidP="00550113">
            <w:pPr>
              <w:spacing w:line="480" w:lineRule="auto"/>
              <w:rPr>
                <w:rFonts w:ascii="Times New Roman" w:hAnsi="Times New Roman" w:cs="Times New Roman"/>
                <w:sz w:val="24"/>
                <w:szCs w:val="24"/>
              </w:rPr>
            </w:pPr>
          </w:p>
        </w:tc>
      </w:tr>
      <w:tr w:rsidR="00424970" w14:paraId="2A8DD4D3" w14:textId="77777777" w:rsidTr="00753E23">
        <w:trPr>
          <w:trHeight w:val="290"/>
        </w:trPr>
        <w:tc>
          <w:tcPr>
            <w:tcW w:w="5566" w:type="dxa"/>
            <w:noWrap/>
            <w:hideMark/>
          </w:tcPr>
          <w:p w14:paraId="235BD613"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lastRenderedPageBreak/>
              <w:t>Components that will not be reclassified to profit or loss:</w:t>
            </w:r>
          </w:p>
        </w:tc>
        <w:tc>
          <w:tcPr>
            <w:tcW w:w="1305" w:type="dxa"/>
            <w:noWrap/>
            <w:hideMark/>
          </w:tcPr>
          <w:p w14:paraId="15304F40" w14:textId="77777777" w:rsidR="009C0BE8" w:rsidRPr="00550113" w:rsidRDefault="009C0BE8" w:rsidP="00550113">
            <w:pPr>
              <w:spacing w:line="480" w:lineRule="auto"/>
              <w:rPr>
                <w:rFonts w:ascii="Times New Roman" w:hAnsi="Times New Roman" w:cs="Times New Roman"/>
                <w:sz w:val="24"/>
                <w:szCs w:val="24"/>
              </w:rPr>
            </w:pPr>
          </w:p>
        </w:tc>
        <w:tc>
          <w:tcPr>
            <w:tcW w:w="1541" w:type="dxa"/>
            <w:noWrap/>
            <w:hideMark/>
          </w:tcPr>
          <w:p w14:paraId="795D1480" w14:textId="77777777" w:rsidR="009C0BE8" w:rsidRPr="00550113" w:rsidRDefault="009C0BE8" w:rsidP="00550113">
            <w:pPr>
              <w:spacing w:line="480" w:lineRule="auto"/>
              <w:rPr>
                <w:rFonts w:ascii="Times New Roman" w:hAnsi="Times New Roman" w:cs="Times New Roman"/>
                <w:sz w:val="24"/>
                <w:szCs w:val="24"/>
              </w:rPr>
            </w:pPr>
          </w:p>
        </w:tc>
        <w:tc>
          <w:tcPr>
            <w:tcW w:w="1174" w:type="dxa"/>
            <w:noWrap/>
            <w:hideMark/>
          </w:tcPr>
          <w:p w14:paraId="02E872EE" w14:textId="77777777" w:rsidR="009C0BE8" w:rsidRPr="00550113" w:rsidRDefault="009C0BE8" w:rsidP="00550113">
            <w:pPr>
              <w:spacing w:line="480" w:lineRule="auto"/>
              <w:rPr>
                <w:rFonts w:ascii="Times New Roman" w:hAnsi="Times New Roman" w:cs="Times New Roman"/>
                <w:sz w:val="24"/>
                <w:szCs w:val="24"/>
              </w:rPr>
            </w:pPr>
          </w:p>
        </w:tc>
      </w:tr>
      <w:tr w:rsidR="00424970" w14:paraId="4FCB7059" w14:textId="77777777" w:rsidTr="00753E23">
        <w:trPr>
          <w:trHeight w:val="290"/>
        </w:trPr>
        <w:tc>
          <w:tcPr>
            <w:tcW w:w="5566" w:type="dxa"/>
            <w:noWrap/>
            <w:hideMark/>
          </w:tcPr>
          <w:p w14:paraId="1E2A7D9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Equity method investees—share of OCI</w:t>
            </w:r>
          </w:p>
        </w:tc>
        <w:tc>
          <w:tcPr>
            <w:tcW w:w="1305" w:type="dxa"/>
            <w:noWrap/>
            <w:hideMark/>
          </w:tcPr>
          <w:p w14:paraId="5F21F482"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2,107.00 </w:t>
            </w:r>
          </w:p>
        </w:tc>
        <w:tc>
          <w:tcPr>
            <w:tcW w:w="1541" w:type="dxa"/>
            <w:noWrap/>
            <w:hideMark/>
          </w:tcPr>
          <w:p w14:paraId="34ADFE76"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51,304.00 </w:t>
            </w:r>
          </w:p>
        </w:tc>
        <w:tc>
          <w:tcPr>
            <w:tcW w:w="1174" w:type="dxa"/>
            <w:noWrap/>
            <w:hideMark/>
          </w:tcPr>
          <w:p w14:paraId="1207C98A" w14:textId="77777777" w:rsidR="009C0BE8" w:rsidRPr="00550113" w:rsidRDefault="009C0BE8" w:rsidP="00550113">
            <w:pPr>
              <w:spacing w:line="480" w:lineRule="auto"/>
              <w:rPr>
                <w:rFonts w:ascii="Times New Roman" w:hAnsi="Times New Roman" w:cs="Times New Roman"/>
                <w:sz w:val="24"/>
                <w:szCs w:val="24"/>
              </w:rPr>
            </w:pPr>
          </w:p>
        </w:tc>
      </w:tr>
      <w:tr w:rsidR="00424970" w14:paraId="39FA7D44" w14:textId="77777777" w:rsidTr="00753E23">
        <w:trPr>
          <w:trHeight w:val="290"/>
        </w:trPr>
        <w:tc>
          <w:tcPr>
            <w:tcW w:w="5566" w:type="dxa"/>
            <w:noWrap/>
            <w:hideMark/>
          </w:tcPr>
          <w:p w14:paraId="4AA1EF88"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FVOCI equity investments</w:t>
            </w:r>
          </w:p>
        </w:tc>
        <w:tc>
          <w:tcPr>
            <w:tcW w:w="1305" w:type="dxa"/>
            <w:noWrap/>
            <w:hideMark/>
          </w:tcPr>
          <w:p w14:paraId="416F0F25"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500.00 </w:t>
            </w:r>
          </w:p>
        </w:tc>
        <w:tc>
          <w:tcPr>
            <w:tcW w:w="1541" w:type="dxa"/>
            <w:noWrap/>
            <w:hideMark/>
          </w:tcPr>
          <w:p w14:paraId="5CA4D701"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18,829.00 </w:t>
            </w:r>
          </w:p>
        </w:tc>
        <w:tc>
          <w:tcPr>
            <w:tcW w:w="1174" w:type="dxa"/>
            <w:noWrap/>
            <w:hideMark/>
          </w:tcPr>
          <w:p w14:paraId="3AD93607" w14:textId="77777777" w:rsidR="009C0BE8" w:rsidRPr="00550113" w:rsidRDefault="009C0BE8" w:rsidP="00550113">
            <w:pPr>
              <w:spacing w:line="480" w:lineRule="auto"/>
              <w:rPr>
                <w:rFonts w:ascii="Times New Roman" w:hAnsi="Times New Roman" w:cs="Times New Roman"/>
                <w:sz w:val="24"/>
                <w:szCs w:val="24"/>
              </w:rPr>
            </w:pPr>
          </w:p>
        </w:tc>
      </w:tr>
      <w:tr w:rsidR="00424970" w14:paraId="0229A7A0" w14:textId="77777777" w:rsidTr="00753E23">
        <w:trPr>
          <w:trHeight w:val="290"/>
        </w:trPr>
        <w:tc>
          <w:tcPr>
            <w:tcW w:w="5566" w:type="dxa"/>
            <w:noWrap/>
            <w:hideMark/>
          </w:tcPr>
          <w:p w14:paraId="59A4618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Actuarial gain (loss) on defined benefit pension plans</w:t>
            </w:r>
          </w:p>
        </w:tc>
        <w:tc>
          <w:tcPr>
            <w:tcW w:w="1305" w:type="dxa"/>
            <w:noWrap/>
            <w:hideMark/>
          </w:tcPr>
          <w:p w14:paraId="123F8C36"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(24,617.00)</w:t>
            </w:r>
          </w:p>
        </w:tc>
        <w:tc>
          <w:tcPr>
            <w:tcW w:w="1541" w:type="dxa"/>
            <w:noWrap/>
            <w:hideMark/>
          </w:tcPr>
          <w:p w14:paraId="2AF29E41"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5,200.00 </w:t>
            </w:r>
          </w:p>
        </w:tc>
        <w:tc>
          <w:tcPr>
            <w:tcW w:w="1174" w:type="dxa"/>
            <w:noWrap/>
            <w:hideMark/>
          </w:tcPr>
          <w:p w14:paraId="38ADE4A7" w14:textId="77777777" w:rsidR="009C0BE8" w:rsidRPr="00550113" w:rsidRDefault="009C0BE8" w:rsidP="00550113">
            <w:pPr>
              <w:spacing w:line="480" w:lineRule="auto"/>
              <w:rPr>
                <w:rFonts w:ascii="Times New Roman" w:hAnsi="Times New Roman" w:cs="Times New Roman"/>
                <w:sz w:val="24"/>
                <w:szCs w:val="24"/>
              </w:rPr>
            </w:pPr>
          </w:p>
        </w:tc>
      </w:tr>
      <w:tr w:rsidR="00424970" w14:paraId="4AA271C1" w14:textId="77777777" w:rsidTr="00753E23">
        <w:trPr>
          <w:trHeight w:val="290"/>
        </w:trPr>
        <w:tc>
          <w:tcPr>
            <w:tcW w:w="5566" w:type="dxa"/>
            <w:noWrap/>
            <w:hideMark/>
          </w:tcPr>
          <w:p w14:paraId="13104725" w14:textId="56C525AC"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income tax (expense) benefit related to components </w:t>
            </w:r>
            <w:r w:rsidR="00753E23" w:rsidRPr="00550113">
              <w:rPr>
                <w:rFonts w:ascii="Times New Roman" w:hAnsi="Times New Roman" w:cs="Times New Roman"/>
                <w:sz w:val="24"/>
                <w:szCs w:val="24"/>
              </w:rPr>
              <w:t>of other</w:t>
            </w:r>
            <w:r w:rsidRPr="00550113">
              <w:rPr>
                <w:rFonts w:ascii="Times New Roman" w:hAnsi="Times New Roman" w:cs="Times New Roman"/>
                <w:sz w:val="24"/>
                <w:szCs w:val="24"/>
              </w:rPr>
              <w:t xml:space="preserve"> comprehensive income not reclassified</w:t>
            </w:r>
          </w:p>
        </w:tc>
        <w:tc>
          <w:tcPr>
            <w:tcW w:w="1305" w:type="dxa"/>
            <w:noWrap/>
            <w:hideMark/>
          </w:tcPr>
          <w:p w14:paraId="72861BC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7,505.00 </w:t>
            </w:r>
          </w:p>
        </w:tc>
        <w:tc>
          <w:tcPr>
            <w:tcW w:w="1541" w:type="dxa"/>
            <w:noWrap/>
            <w:hideMark/>
          </w:tcPr>
          <w:p w14:paraId="1DE38645"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(4,712.00)</w:t>
            </w:r>
          </w:p>
        </w:tc>
        <w:tc>
          <w:tcPr>
            <w:tcW w:w="1174" w:type="dxa"/>
            <w:noWrap/>
            <w:hideMark/>
          </w:tcPr>
          <w:p w14:paraId="3CA2BFBC" w14:textId="77777777" w:rsidR="009C0BE8" w:rsidRPr="00550113" w:rsidRDefault="009C0BE8" w:rsidP="00550113">
            <w:pPr>
              <w:spacing w:line="480" w:lineRule="auto"/>
              <w:rPr>
                <w:rFonts w:ascii="Times New Roman" w:hAnsi="Times New Roman" w:cs="Times New Roman"/>
                <w:sz w:val="24"/>
                <w:szCs w:val="24"/>
              </w:rPr>
            </w:pPr>
          </w:p>
        </w:tc>
      </w:tr>
      <w:tr w:rsidR="00424970" w14:paraId="19A71830" w14:textId="77777777" w:rsidTr="00753E23">
        <w:trPr>
          <w:trHeight w:val="290"/>
        </w:trPr>
        <w:tc>
          <w:tcPr>
            <w:tcW w:w="5566" w:type="dxa"/>
            <w:noWrap/>
            <w:hideMark/>
          </w:tcPr>
          <w:p w14:paraId="54F2C683" w14:textId="77777777" w:rsidR="009C0BE8" w:rsidRPr="00550113" w:rsidRDefault="009C0BE8" w:rsidP="00550113">
            <w:pPr>
              <w:spacing w:line="480" w:lineRule="auto"/>
              <w:rPr>
                <w:rFonts w:ascii="Times New Roman" w:hAnsi="Times New Roman" w:cs="Times New Roman"/>
                <w:sz w:val="24"/>
                <w:szCs w:val="24"/>
              </w:rPr>
            </w:pPr>
          </w:p>
        </w:tc>
        <w:tc>
          <w:tcPr>
            <w:tcW w:w="1305" w:type="dxa"/>
            <w:noWrap/>
            <w:hideMark/>
          </w:tcPr>
          <w:p w14:paraId="00B681C9"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(14,505.00)</w:t>
            </w:r>
          </w:p>
        </w:tc>
        <w:tc>
          <w:tcPr>
            <w:tcW w:w="1541" w:type="dxa"/>
            <w:noWrap/>
            <w:hideMark/>
          </w:tcPr>
          <w:p w14:paraId="749DA899"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70,621.00 </w:t>
            </w:r>
          </w:p>
        </w:tc>
        <w:tc>
          <w:tcPr>
            <w:tcW w:w="1174" w:type="dxa"/>
            <w:noWrap/>
            <w:hideMark/>
          </w:tcPr>
          <w:p w14:paraId="5F59F8B5"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w:t>
            </w:r>
          </w:p>
        </w:tc>
      </w:tr>
      <w:tr w:rsidR="00424970" w14:paraId="5017DC43" w14:textId="77777777" w:rsidTr="00753E23">
        <w:trPr>
          <w:trHeight w:val="290"/>
        </w:trPr>
        <w:tc>
          <w:tcPr>
            <w:tcW w:w="6871" w:type="dxa"/>
            <w:gridSpan w:val="2"/>
            <w:noWrap/>
            <w:hideMark/>
          </w:tcPr>
          <w:p w14:paraId="3A57BA83"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Components that may be reclassified subsequently to profit or loss</w:t>
            </w:r>
          </w:p>
        </w:tc>
        <w:tc>
          <w:tcPr>
            <w:tcW w:w="1541" w:type="dxa"/>
            <w:noWrap/>
            <w:hideMark/>
          </w:tcPr>
          <w:p w14:paraId="529AFB98" w14:textId="77777777" w:rsidR="009C0BE8" w:rsidRPr="00550113" w:rsidRDefault="009C0BE8" w:rsidP="00550113">
            <w:pPr>
              <w:spacing w:line="480" w:lineRule="auto"/>
              <w:rPr>
                <w:rFonts w:ascii="Times New Roman" w:hAnsi="Times New Roman" w:cs="Times New Roman"/>
                <w:sz w:val="24"/>
                <w:szCs w:val="24"/>
              </w:rPr>
            </w:pPr>
          </w:p>
        </w:tc>
        <w:tc>
          <w:tcPr>
            <w:tcW w:w="1174" w:type="dxa"/>
            <w:noWrap/>
            <w:hideMark/>
          </w:tcPr>
          <w:p w14:paraId="1EB2E56A" w14:textId="77777777" w:rsidR="009C0BE8" w:rsidRPr="00550113" w:rsidRDefault="009C0BE8" w:rsidP="00550113">
            <w:pPr>
              <w:spacing w:line="480" w:lineRule="auto"/>
              <w:rPr>
                <w:rFonts w:ascii="Times New Roman" w:hAnsi="Times New Roman" w:cs="Times New Roman"/>
                <w:sz w:val="24"/>
                <w:szCs w:val="24"/>
              </w:rPr>
            </w:pPr>
          </w:p>
        </w:tc>
      </w:tr>
      <w:tr w:rsidR="00424970" w14:paraId="063A75CF" w14:textId="77777777" w:rsidTr="00753E23">
        <w:trPr>
          <w:trHeight w:val="290"/>
        </w:trPr>
        <w:tc>
          <w:tcPr>
            <w:tcW w:w="5566" w:type="dxa"/>
            <w:noWrap/>
            <w:hideMark/>
          </w:tcPr>
          <w:p w14:paraId="3E69DE7E"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Gain (loss) related to foreign currency translation.</w:t>
            </w:r>
          </w:p>
        </w:tc>
        <w:tc>
          <w:tcPr>
            <w:tcW w:w="1305" w:type="dxa"/>
            <w:noWrap/>
            <w:hideMark/>
          </w:tcPr>
          <w:p w14:paraId="7E894DAE"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(672,272.00)</w:t>
            </w:r>
          </w:p>
        </w:tc>
        <w:tc>
          <w:tcPr>
            <w:tcW w:w="1541" w:type="dxa"/>
            <w:noWrap/>
            <w:hideMark/>
          </w:tcPr>
          <w:p w14:paraId="7475F81B"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(278,277.00)</w:t>
            </w:r>
          </w:p>
        </w:tc>
        <w:tc>
          <w:tcPr>
            <w:tcW w:w="1174" w:type="dxa"/>
            <w:noWrap/>
            <w:hideMark/>
          </w:tcPr>
          <w:p w14:paraId="6CBC1339"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105,678.00 </w:t>
            </w:r>
          </w:p>
        </w:tc>
      </w:tr>
      <w:tr w:rsidR="00424970" w14:paraId="5DE2F437" w14:textId="77777777" w:rsidTr="00753E23">
        <w:trPr>
          <w:trHeight w:val="290"/>
        </w:trPr>
        <w:tc>
          <w:tcPr>
            <w:tcW w:w="5566" w:type="dxa"/>
            <w:noWrap/>
            <w:hideMark/>
          </w:tcPr>
          <w:p w14:paraId="0BC642AB"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FVOCI debt securities</w:t>
            </w:r>
          </w:p>
        </w:tc>
        <w:tc>
          <w:tcPr>
            <w:tcW w:w="1305" w:type="dxa"/>
            <w:noWrap/>
            <w:hideMark/>
          </w:tcPr>
          <w:p w14:paraId="4FF8640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(595.00)</w:t>
            </w:r>
          </w:p>
        </w:tc>
        <w:tc>
          <w:tcPr>
            <w:tcW w:w="1541" w:type="dxa"/>
            <w:noWrap/>
            <w:hideMark/>
          </w:tcPr>
          <w:p w14:paraId="07213197"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31,405.00 </w:t>
            </w:r>
          </w:p>
        </w:tc>
        <w:tc>
          <w:tcPr>
            <w:tcW w:w="1174" w:type="dxa"/>
            <w:noWrap/>
            <w:hideMark/>
          </w:tcPr>
          <w:p w14:paraId="1F781C5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6,288.00 </w:t>
            </w:r>
          </w:p>
        </w:tc>
      </w:tr>
      <w:tr w:rsidR="00424970" w14:paraId="305E0F33" w14:textId="77777777" w:rsidTr="00753E23">
        <w:trPr>
          <w:trHeight w:val="290"/>
        </w:trPr>
        <w:tc>
          <w:tcPr>
            <w:tcW w:w="5566" w:type="dxa"/>
            <w:noWrap/>
            <w:hideMark/>
          </w:tcPr>
          <w:p w14:paraId="66BFC2F0"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Gain (loss) related to cash flow hedges</w:t>
            </w:r>
          </w:p>
        </w:tc>
        <w:tc>
          <w:tcPr>
            <w:tcW w:w="1305" w:type="dxa"/>
            <w:noWrap/>
            <w:hideMark/>
          </w:tcPr>
          <w:p w14:paraId="65A64CAC"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(3,435.00)</w:t>
            </w:r>
          </w:p>
        </w:tc>
        <w:tc>
          <w:tcPr>
            <w:tcW w:w="1541" w:type="dxa"/>
            <w:noWrap/>
            <w:hideMark/>
          </w:tcPr>
          <w:p w14:paraId="37D85A5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(809.00)</w:t>
            </w:r>
          </w:p>
        </w:tc>
        <w:tc>
          <w:tcPr>
            <w:tcW w:w="1174" w:type="dxa"/>
            <w:noWrap/>
            <w:hideMark/>
          </w:tcPr>
          <w:p w14:paraId="020FB9F8" w14:textId="77777777" w:rsidR="009C0BE8" w:rsidRPr="00550113" w:rsidRDefault="009C0BE8" w:rsidP="00550113">
            <w:pPr>
              <w:spacing w:line="480" w:lineRule="auto"/>
              <w:rPr>
                <w:rFonts w:ascii="Times New Roman" w:hAnsi="Times New Roman" w:cs="Times New Roman"/>
                <w:sz w:val="24"/>
                <w:szCs w:val="24"/>
              </w:rPr>
            </w:pPr>
          </w:p>
        </w:tc>
      </w:tr>
      <w:tr w:rsidR="00424970" w14:paraId="25DCC9A1" w14:textId="77777777" w:rsidTr="00753E23">
        <w:trPr>
          <w:trHeight w:val="290"/>
        </w:trPr>
        <w:tc>
          <w:tcPr>
            <w:tcW w:w="5566" w:type="dxa"/>
            <w:noWrap/>
            <w:hideMark/>
          </w:tcPr>
          <w:p w14:paraId="2379E289"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Cost of hedging</w:t>
            </w:r>
          </w:p>
        </w:tc>
        <w:tc>
          <w:tcPr>
            <w:tcW w:w="1305" w:type="dxa"/>
            <w:noWrap/>
            <w:hideMark/>
          </w:tcPr>
          <w:p w14:paraId="15F4656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2,203.00 </w:t>
            </w:r>
          </w:p>
        </w:tc>
        <w:tc>
          <w:tcPr>
            <w:tcW w:w="1541" w:type="dxa"/>
            <w:noWrap/>
            <w:hideMark/>
          </w:tcPr>
          <w:p w14:paraId="5BE4079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1,352.00 </w:t>
            </w:r>
          </w:p>
        </w:tc>
        <w:tc>
          <w:tcPr>
            <w:tcW w:w="1174" w:type="dxa"/>
            <w:noWrap/>
            <w:hideMark/>
          </w:tcPr>
          <w:p w14:paraId="560556B9" w14:textId="77777777" w:rsidR="009C0BE8" w:rsidRPr="00550113" w:rsidRDefault="009C0BE8" w:rsidP="00550113">
            <w:pPr>
              <w:spacing w:line="480" w:lineRule="auto"/>
              <w:rPr>
                <w:rFonts w:ascii="Times New Roman" w:hAnsi="Times New Roman" w:cs="Times New Roman"/>
                <w:sz w:val="24"/>
                <w:szCs w:val="24"/>
              </w:rPr>
            </w:pPr>
          </w:p>
        </w:tc>
      </w:tr>
      <w:tr w:rsidR="00424970" w14:paraId="36EA6D61" w14:textId="77777777" w:rsidTr="00753E23">
        <w:trPr>
          <w:trHeight w:val="290"/>
        </w:trPr>
        <w:tc>
          <w:tcPr>
            <w:tcW w:w="5566" w:type="dxa"/>
            <w:noWrap/>
            <w:hideMark/>
          </w:tcPr>
          <w:p w14:paraId="222FF7D6" w14:textId="47D64660"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Income tax (expense) benefit related to components of other comprehensive income that may be reclassified</w:t>
            </w:r>
          </w:p>
        </w:tc>
        <w:tc>
          <w:tcPr>
            <w:tcW w:w="1305" w:type="dxa"/>
            <w:noWrap/>
            <w:hideMark/>
          </w:tcPr>
          <w:p w14:paraId="2543981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341.00 </w:t>
            </w:r>
          </w:p>
        </w:tc>
        <w:tc>
          <w:tcPr>
            <w:tcW w:w="1541" w:type="dxa"/>
            <w:noWrap/>
            <w:hideMark/>
          </w:tcPr>
          <w:p w14:paraId="2D2FACC3"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(5,425.00)</w:t>
            </w:r>
          </w:p>
        </w:tc>
        <w:tc>
          <w:tcPr>
            <w:tcW w:w="1174" w:type="dxa"/>
            <w:noWrap/>
            <w:hideMark/>
          </w:tcPr>
          <w:p w14:paraId="190383F8"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(1,878.00)</w:t>
            </w:r>
          </w:p>
        </w:tc>
      </w:tr>
      <w:tr w:rsidR="00424970" w14:paraId="08E80127" w14:textId="77777777" w:rsidTr="00753E23">
        <w:trPr>
          <w:trHeight w:val="290"/>
        </w:trPr>
        <w:tc>
          <w:tcPr>
            <w:tcW w:w="5566" w:type="dxa"/>
            <w:noWrap/>
            <w:hideMark/>
          </w:tcPr>
          <w:p w14:paraId="5A72E320" w14:textId="77777777" w:rsidR="009C0BE8" w:rsidRPr="00550113" w:rsidRDefault="009C0BE8" w:rsidP="00550113">
            <w:pPr>
              <w:spacing w:line="480" w:lineRule="auto"/>
              <w:rPr>
                <w:rFonts w:ascii="Times New Roman" w:hAnsi="Times New Roman" w:cs="Times New Roman"/>
                <w:sz w:val="24"/>
                <w:szCs w:val="24"/>
              </w:rPr>
            </w:pPr>
          </w:p>
        </w:tc>
        <w:tc>
          <w:tcPr>
            <w:tcW w:w="1305" w:type="dxa"/>
            <w:noWrap/>
            <w:hideMark/>
          </w:tcPr>
          <w:p w14:paraId="04802802"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(638,758.00)</w:t>
            </w:r>
          </w:p>
        </w:tc>
        <w:tc>
          <w:tcPr>
            <w:tcW w:w="1541" w:type="dxa"/>
            <w:noWrap/>
            <w:hideMark/>
          </w:tcPr>
          <w:p w14:paraId="438B7EFC"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(251,754.00)</w:t>
            </w:r>
          </w:p>
        </w:tc>
        <w:tc>
          <w:tcPr>
            <w:tcW w:w="1174" w:type="dxa"/>
            <w:noWrap/>
            <w:hideMark/>
          </w:tcPr>
          <w:p w14:paraId="59937478"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110,088.00 </w:t>
            </w:r>
          </w:p>
        </w:tc>
      </w:tr>
      <w:tr w:rsidR="00424970" w14:paraId="50E25021" w14:textId="77777777" w:rsidTr="00753E23">
        <w:trPr>
          <w:trHeight w:val="290"/>
        </w:trPr>
        <w:tc>
          <w:tcPr>
            <w:tcW w:w="5566" w:type="dxa"/>
            <w:noWrap/>
            <w:hideMark/>
          </w:tcPr>
          <w:p w14:paraId="4780FBAD"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Other comprehensive income (loss), net of tax</w:t>
            </w:r>
          </w:p>
        </w:tc>
        <w:tc>
          <w:tcPr>
            <w:tcW w:w="1305" w:type="dxa"/>
            <w:noWrap/>
            <w:hideMark/>
          </w:tcPr>
          <w:p w14:paraId="3A43F2C4"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(653,263.00)</w:t>
            </w:r>
          </w:p>
        </w:tc>
        <w:tc>
          <w:tcPr>
            <w:tcW w:w="1541" w:type="dxa"/>
            <w:noWrap/>
            <w:hideMark/>
          </w:tcPr>
          <w:p w14:paraId="5BC517A7"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(181,133.00)</w:t>
            </w:r>
          </w:p>
        </w:tc>
        <w:tc>
          <w:tcPr>
            <w:tcW w:w="1174" w:type="dxa"/>
            <w:noWrap/>
            <w:hideMark/>
          </w:tcPr>
          <w:p w14:paraId="33294254" w14:textId="77777777" w:rsidR="009C0BE8" w:rsidRPr="00550113" w:rsidRDefault="009C0BE8" w:rsidP="00550113">
            <w:pPr>
              <w:spacing w:line="480" w:lineRule="auto"/>
              <w:rPr>
                <w:rFonts w:ascii="Times New Roman" w:hAnsi="Times New Roman" w:cs="Times New Roman"/>
                <w:sz w:val="24"/>
                <w:szCs w:val="24"/>
              </w:rPr>
            </w:pPr>
          </w:p>
        </w:tc>
      </w:tr>
      <w:tr w:rsidR="00424970" w14:paraId="6E1DC5FE" w14:textId="77777777" w:rsidTr="00753E23">
        <w:trPr>
          <w:trHeight w:val="290"/>
        </w:trPr>
        <w:tc>
          <w:tcPr>
            <w:tcW w:w="5566" w:type="dxa"/>
            <w:noWrap/>
            <w:hideMark/>
          </w:tcPr>
          <w:p w14:paraId="1528E3FF"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comprehensive income</w:t>
            </w:r>
          </w:p>
        </w:tc>
        <w:tc>
          <w:tcPr>
            <w:tcW w:w="1305" w:type="dxa"/>
            <w:noWrap/>
            <w:hideMark/>
          </w:tcPr>
          <w:p w14:paraId="5CBF7797"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(233,517.00)</w:t>
            </w:r>
          </w:p>
        </w:tc>
        <w:tc>
          <w:tcPr>
            <w:tcW w:w="1541" w:type="dxa"/>
            <w:noWrap/>
            <w:hideMark/>
          </w:tcPr>
          <w:p w14:paraId="385BC069"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245,783.00 </w:t>
            </w:r>
          </w:p>
        </w:tc>
        <w:tc>
          <w:tcPr>
            <w:tcW w:w="1174" w:type="dxa"/>
            <w:noWrap/>
            <w:hideMark/>
          </w:tcPr>
          <w:p w14:paraId="32F14CD8"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460,457.00 </w:t>
            </w:r>
          </w:p>
        </w:tc>
      </w:tr>
      <w:tr w:rsidR="00424970" w14:paraId="129BAAF5" w14:textId="77777777" w:rsidTr="00753E23">
        <w:trPr>
          <w:trHeight w:val="290"/>
        </w:trPr>
        <w:tc>
          <w:tcPr>
            <w:tcW w:w="5566" w:type="dxa"/>
            <w:noWrap/>
            <w:hideMark/>
          </w:tcPr>
          <w:p w14:paraId="0741A513" w14:textId="3472F808"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Comprehensive income attributable to noncontrolling interests</w:t>
            </w:r>
          </w:p>
        </w:tc>
        <w:tc>
          <w:tcPr>
            <w:tcW w:w="1305" w:type="dxa"/>
            <w:noWrap/>
            <w:hideMark/>
          </w:tcPr>
          <w:p w14:paraId="7C6690DB"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14,526.00 </w:t>
            </w:r>
          </w:p>
        </w:tc>
        <w:tc>
          <w:tcPr>
            <w:tcW w:w="1541" w:type="dxa"/>
            <w:noWrap/>
            <w:hideMark/>
          </w:tcPr>
          <w:p w14:paraId="05D0224A"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54,524.00 </w:t>
            </w:r>
          </w:p>
        </w:tc>
        <w:tc>
          <w:tcPr>
            <w:tcW w:w="1174" w:type="dxa"/>
            <w:noWrap/>
            <w:hideMark/>
          </w:tcPr>
          <w:p w14:paraId="1CC026C2" w14:textId="77777777"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    90,094.00 </w:t>
            </w:r>
          </w:p>
        </w:tc>
      </w:tr>
      <w:tr w:rsidR="00424970" w14:paraId="2E855A2D" w14:textId="77777777" w:rsidTr="00753E23">
        <w:trPr>
          <w:trHeight w:val="300"/>
        </w:trPr>
        <w:tc>
          <w:tcPr>
            <w:tcW w:w="5566" w:type="dxa"/>
            <w:noWrap/>
            <w:hideMark/>
          </w:tcPr>
          <w:p w14:paraId="78FA419B" w14:textId="29BFF44C" w:rsidR="009C0BE8"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Comprehensive income (loss) attributable to shareholders of FMC-AG &amp; Co. KGaA</w:t>
            </w:r>
          </w:p>
        </w:tc>
        <w:tc>
          <w:tcPr>
            <w:tcW w:w="1305" w:type="dxa"/>
            <w:noWrap/>
            <w:hideMark/>
          </w:tcPr>
          <w:p w14:paraId="33B3D7E3"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(248,043.00)</w:t>
            </w:r>
          </w:p>
        </w:tc>
        <w:tc>
          <w:tcPr>
            <w:tcW w:w="1541" w:type="dxa"/>
            <w:noWrap/>
            <w:hideMark/>
          </w:tcPr>
          <w:p w14:paraId="156DED9E"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191,259.00 </w:t>
            </w:r>
          </w:p>
        </w:tc>
        <w:tc>
          <w:tcPr>
            <w:tcW w:w="1174" w:type="dxa"/>
            <w:noWrap/>
            <w:hideMark/>
          </w:tcPr>
          <w:p w14:paraId="35418B2F" w14:textId="77777777" w:rsidR="009C0BE8"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 xml:space="preserve">  370,363.00 </w:t>
            </w:r>
          </w:p>
        </w:tc>
      </w:tr>
    </w:tbl>
    <w:p w14:paraId="240AFDEF" w14:textId="57B7200C" w:rsidR="009C0BE8" w:rsidRPr="00550113" w:rsidRDefault="009C0BE8" w:rsidP="00550113">
      <w:pPr>
        <w:spacing w:after="0" w:line="480" w:lineRule="auto"/>
        <w:rPr>
          <w:rFonts w:ascii="Times New Roman" w:hAnsi="Times New Roman" w:cs="Times New Roman"/>
          <w:sz w:val="24"/>
          <w:szCs w:val="24"/>
        </w:rPr>
      </w:pPr>
    </w:p>
    <w:p w14:paraId="36F6489B" w14:textId="24588ECD" w:rsidR="00756CCE"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Analysis of the financial statements </w:t>
      </w:r>
    </w:p>
    <w:p w14:paraId="746B0850" w14:textId="62F1D29C" w:rsidR="00756CCE"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In march 2020 the total income generated was 350,369.00 while in September it was 419,746.00 representing a 19.8 % increase in the income. This reveals that the firm would continue to offer more services in the long run hence generate more income for the firm. The growth of the firm is determined by whether the life of the organization is a certainty. The firm has continued to make profits generating additional income to the firm hence the growth life certain. </w:t>
      </w:r>
    </w:p>
    <w:p w14:paraId="7E34A8CB" w14:textId="453C7EF6" w:rsidR="00C865A0" w:rsidRPr="00550113" w:rsidRDefault="00C865A0" w:rsidP="00550113">
      <w:pPr>
        <w:spacing w:after="0" w:line="480" w:lineRule="auto"/>
        <w:rPr>
          <w:rFonts w:ascii="Times New Roman" w:hAnsi="Times New Roman" w:cs="Times New Roman"/>
          <w:sz w:val="24"/>
          <w:szCs w:val="24"/>
        </w:rPr>
      </w:pPr>
    </w:p>
    <w:tbl>
      <w:tblPr>
        <w:tblStyle w:val="TableGrid"/>
        <w:tblW w:w="9445" w:type="dxa"/>
        <w:tblLook w:val="04A0" w:firstRow="1" w:lastRow="0" w:firstColumn="1" w:lastColumn="0" w:noHBand="0" w:noVBand="1"/>
      </w:tblPr>
      <w:tblGrid>
        <w:gridCol w:w="5801"/>
        <w:gridCol w:w="1296"/>
        <w:gridCol w:w="1296"/>
        <w:gridCol w:w="1296"/>
      </w:tblGrid>
      <w:tr w:rsidR="00424970" w14:paraId="2BA1A2E8" w14:textId="77777777" w:rsidTr="00753E23">
        <w:trPr>
          <w:trHeight w:val="290"/>
        </w:trPr>
        <w:tc>
          <w:tcPr>
            <w:tcW w:w="5801" w:type="dxa"/>
            <w:noWrap/>
            <w:hideMark/>
          </w:tcPr>
          <w:p w14:paraId="214F543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Fresenius Medical care </w:t>
            </w:r>
          </w:p>
        </w:tc>
        <w:tc>
          <w:tcPr>
            <w:tcW w:w="1183" w:type="dxa"/>
            <w:noWrap/>
            <w:hideMark/>
          </w:tcPr>
          <w:p w14:paraId="7B5E9479"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7672E5A2"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30E06579" w14:textId="77777777" w:rsidR="007358CE" w:rsidRPr="00550113" w:rsidRDefault="007358CE" w:rsidP="00550113">
            <w:pPr>
              <w:spacing w:line="480" w:lineRule="auto"/>
              <w:rPr>
                <w:rFonts w:ascii="Times New Roman" w:hAnsi="Times New Roman" w:cs="Times New Roman"/>
                <w:sz w:val="24"/>
                <w:szCs w:val="24"/>
              </w:rPr>
            </w:pPr>
          </w:p>
        </w:tc>
      </w:tr>
      <w:tr w:rsidR="00424970" w14:paraId="5522B67D" w14:textId="77777777" w:rsidTr="00753E23">
        <w:trPr>
          <w:trHeight w:val="290"/>
        </w:trPr>
        <w:tc>
          <w:tcPr>
            <w:tcW w:w="5801" w:type="dxa"/>
            <w:noWrap/>
            <w:hideMark/>
          </w:tcPr>
          <w:p w14:paraId="72F370D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Consolidated balance sheets</w:t>
            </w:r>
          </w:p>
        </w:tc>
        <w:tc>
          <w:tcPr>
            <w:tcW w:w="1183" w:type="dxa"/>
            <w:noWrap/>
            <w:hideMark/>
          </w:tcPr>
          <w:p w14:paraId="003D3B7B"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481FA0E5"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006C486A" w14:textId="77777777" w:rsidR="007358CE" w:rsidRPr="00550113" w:rsidRDefault="007358CE" w:rsidP="00550113">
            <w:pPr>
              <w:spacing w:line="480" w:lineRule="auto"/>
              <w:rPr>
                <w:rFonts w:ascii="Times New Roman" w:hAnsi="Times New Roman" w:cs="Times New Roman"/>
                <w:sz w:val="24"/>
                <w:szCs w:val="24"/>
              </w:rPr>
            </w:pPr>
          </w:p>
        </w:tc>
      </w:tr>
      <w:tr w:rsidR="00424970" w14:paraId="7FFF938C" w14:textId="77777777" w:rsidTr="00753E23">
        <w:trPr>
          <w:trHeight w:val="290"/>
        </w:trPr>
        <w:tc>
          <w:tcPr>
            <w:tcW w:w="5801" w:type="dxa"/>
            <w:noWrap/>
            <w:hideMark/>
          </w:tcPr>
          <w:p w14:paraId="2FBFCB27"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6BE17221"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Sep-20</w:t>
            </w:r>
          </w:p>
        </w:tc>
        <w:tc>
          <w:tcPr>
            <w:tcW w:w="1183" w:type="dxa"/>
            <w:noWrap/>
            <w:hideMark/>
          </w:tcPr>
          <w:p w14:paraId="42E44975"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Jun-20</w:t>
            </w:r>
          </w:p>
        </w:tc>
        <w:tc>
          <w:tcPr>
            <w:tcW w:w="1183" w:type="dxa"/>
            <w:noWrap/>
            <w:hideMark/>
          </w:tcPr>
          <w:p w14:paraId="4AE2F5E1"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Mar-20</w:t>
            </w:r>
          </w:p>
        </w:tc>
      </w:tr>
      <w:tr w:rsidR="00424970" w14:paraId="71B10E14" w14:textId="77777777" w:rsidTr="00753E23">
        <w:trPr>
          <w:trHeight w:val="290"/>
        </w:trPr>
        <w:tc>
          <w:tcPr>
            <w:tcW w:w="5801" w:type="dxa"/>
            <w:noWrap/>
            <w:hideMark/>
          </w:tcPr>
          <w:p w14:paraId="0ACC67C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Assets</w:t>
            </w:r>
          </w:p>
        </w:tc>
        <w:tc>
          <w:tcPr>
            <w:tcW w:w="1183" w:type="dxa"/>
            <w:noWrap/>
            <w:hideMark/>
          </w:tcPr>
          <w:p w14:paraId="5EB547BB"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6B8DAAFF"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34E5DF37" w14:textId="77777777" w:rsidR="007358CE" w:rsidRPr="00550113" w:rsidRDefault="007358CE" w:rsidP="00550113">
            <w:pPr>
              <w:spacing w:line="480" w:lineRule="auto"/>
              <w:rPr>
                <w:rFonts w:ascii="Times New Roman" w:hAnsi="Times New Roman" w:cs="Times New Roman"/>
                <w:sz w:val="24"/>
                <w:szCs w:val="24"/>
              </w:rPr>
            </w:pPr>
          </w:p>
        </w:tc>
      </w:tr>
      <w:tr w:rsidR="00424970" w14:paraId="26D79353" w14:textId="77777777" w:rsidTr="00753E23">
        <w:trPr>
          <w:trHeight w:val="290"/>
        </w:trPr>
        <w:tc>
          <w:tcPr>
            <w:tcW w:w="5801" w:type="dxa"/>
            <w:noWrap/>
            <w:hideMark/>
          </w:tcPr>
          <w:p w14:paraId="307611F3" w14:textId="16B4ADCF"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lastRenderedPageBreak/>
              <w:t>Assets Cash and cash equivalents</w:t>
            </w:r>
          </w:p>
        </w:tc>
        <w:tc>
          <w:tcPr>
            <w:tcW w:w="1183" w:type="dxa"/>
            <w:noWrap/>
            <w:hideMark/>
          </w:tcPr>
          <w:p w14:paraId="3C9B545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1,598,659</w:t>
            </w:r>
          </w:p>
        </w:tc>
        <w:tc>
          <w:tcPr>
            <w:tcW w:w="1183" w:type="dxa"/>
            <w:noWrap/>
            <w:hideMark/>
          </w:tcPr>
          <w:p w14:paraId="2DFF8F3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1,889,433</w:t>
            </w:r>
          </w:p>
        </w:tc>
        <w:tc>
          <w:tcPr>
            <w:tcW w:w="1183" w:type="dxa"/>
            <w:noWrap/>
            <w:hideMark/>
          </w:tcPr>
          <w:p w14:paraId="4026AD6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1,405,052</w:t>
            </w:r>
          </w:p>
        </w:tc>
      </w:tr>
      <w:tr w:rsidR="00424970" w14:paraId="1D5385ED" w14:textId="77777777" w:rsidTr="00753E23">
        <w:trPr>
          <w:trHeight w:val="290"/>
        </w:trPr>
        <w:tc>
          <w:tcPr>
            <w:tcW w:w="5801" w:type="dxa"/>
            <w:noWrap/>
            <w:hideMark/>
          </w:tcPr>
          <w:p w14:paraId="373BAC7F" w14:textId="4D9A7D0D"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Trade accounts and other receivables</w:t>
            </w:r>
          </w:p>
        </w:tc>
        <w:tc>
          <w:tcPr>
            <w:tcW w:w="1183" w:type="dxa"/>
            <w:noWrap/>
            <w:hideMark/>
          </w:tcPr>
          <w:p w14:paraId="075559B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3,251,856</w:t>
            </w:r>
          </w:p>
        </w:tc>
        <w:tc>
          <w:tcPr>
            <w:tcW w:w="1183" w:type="dxa"/>
            <w:noWrap/>
            <w:hideMark/>
          </w:tcPr>
          <w:p w14:paraId="705F38D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3,448,171</w:t>
            </w:r>
          </w:p>
        </w:tc>
        <w:tc>
          <w:tcPr>
            <w:tcW w:w="1183" w:type="dxa"/>
            <w:noWrap/>
            <w:hideMark/>
          </w:tcPr>
          <w:p w14:paraId="1015546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3,708,028</w:t>
            </w:r>
          </w:p>
        </w:tc>
      </w:tr>
      <w:tr w:rsidR="00424970" w14:paraId="1740A42D" w14:textId="77777777" w:rsidTr="00753E23">
        <w:trPr>
          <w:trHeight w:val="290"/>
        </w:trPr>
        <w:tc>
          <w:tcPr>
            <w:tcW w:w="5801" w:type="dxa"/>
            <w:noWrap/>
            <w:hideMark/>
          </w:tcPr>
          <w:p w14:paraId="2845A9C5" w14:textId="6F806154"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Accounts receivable from related parties</w:t>
            </w:r>
          </w:p>
        </w:tc>
        <w:tc>
          <w:tcPr>
            <w:tcW w:w="1183" w:type="dxa"/>
            <w:noWrap/>
            <w:hideMark/>
          </w:tcPr>
          <w:p w14:paraId="138EA7C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138,232</w:t>
            </w:r>
          </w:p>
        </w:tc>
        <w:tc>
          <w:tcPr>
            <w:tcW w:w="1183" w:type="dxa"/>
            <w:noWrap/>
            <w:hideMark/>
          </w:tcPr>
          <w:p w14:paraId="62C78CD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133,214</w:t>
            </w:r>
          </w:p>
        </w:tc>
        <w:tc>
          <w:tcPr>
            <w:tcW w:w="1278" w:type="dxa"/>
            <w:noWrap/>
            <w:hideMark/>
          </w:tcPr>
          <w:p w14:paraId="1C73884D"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128,033</w:t>
            </w:r>
          </w:p>
        </w:tc>
      </w:tr>
      <w:tr w:rsidR="00424970" w14:paraId="36152310" w14:textId="77777777" w:rsidTr="00753E23">
        <w:trPr>
          <w:trHeight w:val="290"/>
        </w:trPr>
        <w:tc>
          <w:tcPr>
            <w:tcW w:w="5801" w:type="dxa"/>
            <w:noWrap/>
            <w:hideMark/>
          </w:tcPr>
          <w:p w14:paraId="25E720A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Inventories</w:t>
            </w:r>
          </w:p>
        </w:tc>
        <w:tc>
          <w:tcPr>
            <w:tcW w:w="1183" w:type="dxa"/>
            <w:noWrap/>
            <w:hideMark/>
          </w:tcPr>
          <w:p w14:paraId="2EDC530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1,897,017</w:t>
            </w:r>
          </w:p>
        </w:tc>
        <w:tc>
          <w:tcPr>
            <w:tcW w:w="1183" w:type="dxa"/>
            <w:noWrap/>
            <w:hideMark/>
          </w:tcPr>
          <w:p w14:paraId="5569FB6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1,840,855</w:t>
            </w:r>
          </w:p>
        </w:tc>
        <w:tc>
          <w:tcPr>
            <w:tcW w:w="1183" w:type="dxa"/>
            <w:noWrap/>
            <w:hideMark/>
          </w:tcPr>
          <w:p w14:paraId="5DDE594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1,743,099</w:t>
            </w:r>
          </w:p>
        </w:tc>
      </w:tr>
      <w:tr w:rsidR="00424970" w14:paraId="1A1266FA" w14:textId="77777777" w:rsidTr="00753E23">
        <w:trPr>
          <w:trHeight w:val="290"/>
        </w:trPr>
        <w:tc>
          <w:tcPr>
            <w:tcW w:w="5801" w:type="dxa"/>
            <w:noWrap/>
            <w:hideMark/>
          </w:tcPr>
          <w:p w14:paraId="63EEDDD9" w14:textId="1CB2C8EA"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Other current assets</w:t>
            </w:r>
          </w:p>
        </w:tc>
        <w:tc>
          <w:tcPr>
            <w:tcW w:w="1183" w:type="dxa"/>
            <w:noWrap/>
            <w:hideMark/>
          </w:tcPr>
          <w:p w14:paraId="5DC1C12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938,304</w:t>
            </w:r>
          </w:p>
        </w:tc>
        <w:tc>
          <w:tcPr>
            <w:tcW w:w="1183" w:type="dxa"/>
            <w:noWrap/>
            <w:hideMark/>
          </w:tcPr>
          <w:p w14:paraId="6D1B972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846,848</w:t>
            </w:r>
          </w:p>
        </w:tc>
        <w:tc>
          <w:tcPr>
            <w:tcW w:w="1183" w:type="dxa"/>
            <w:noWrap/>
            <w:hideMark/>
          </w:tcPr>
          <w:p w14:paraId="5683D1B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871,672</w:t>
            </w:r>
          </w:p>
        </w:tc>
      </w:tr>
      <w:tr w:rsidR="00424970" w14:paraId="0CE1CDC5" w14:textId="77777777" w:rsidTr="00753E23">
        <w:trPr>
          <w:trHeight w:val="290"/>
        </w:trPr>
        <w:tc>
          <w:tcPr>
            <w:tcW w:w="5801" w:type="dxa"/>
            <w:noWrap/>
            <w:hideMark/>
          </w:tcPr>
          <w:p w14:paraId="4F054F73" w14:textId="43D3F888"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Total current assets</w:t>
            </w:r>
          </w:p>
        </w:tc>
        <w:tc>
          <w:tcPr>
            <w:tcW w:w="1183" w:type="dxa"/>
            <w:noWrap/>
            <w:hideMark/>
          </w:tcPr>
          <w:p w14:paraId="19C5C552"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7,824,068</w:t>
            </w:r>
          </w:p>
        </w:tc>
        <w:tc>
          <w:tcPr>
            <w:tcW w:w="1183" w:type="dxa"/>
            <w:noWrap/>
            <w:hideMark/>
          </w:tcPr>
          <w:p w14:paraId="532FACC3"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8,181,521</w:t>
            </w:r>
          </w:p>
        </w:tc>
        <w:tc>
          <w:tcPr>
            <w:tcW w:w="1183" w:type="dxa"/>
            <w:noWrap/>
            <w:hideMark/>
          </w:tcPr>
          <w:p w14:paraId="670383BD"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7,855,884</w:t>
            </w:r>
          </w:p>
        </w:tc>
      </w:tr>
      <w:tr w:rsidR="00424970" w14:paraId="35A9CC27" w14:textId="77777777" w:rsidTr="00753E23">
        <w:trPr>
          <w:trHeight w:val="290"/>
        </w:trPr>
        <w:tc>
          <w:tcPr>
            <w:tcW w:w="5801" w:type="dxa"/>
            <w:noWrap/>
            <w:hideMark/>
          </w:tcPr>
          <w:p w14:paraId="4D9FA574" w14:textId="65742BCD"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Property, plant and equipment</w:t>
            </w:r>
          </w:p>
        </w:tc>
        <w:tc>
          <w:tcPr>
            <w:tcW w:w="1183" w:type="dxa"/>
            <w:noWrap/>
            <w:hideMark/>
          </w:tcPr>
          <w:p w14:paraId="009B376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4,079,751</w:t>
            </w:r>
          </w:p>
        </w:tc>
        <w:tc>
          <w:tcPr>
            <w:tcW w:w="1183" w:type="dxa"/>
            <w:noWrap/>
            <w:hideMark/>
          </w:tcPr>
          <w:p w14:paraId="5DA8F8E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4,193,855</w:t>
            </w:r>
          </w:p>
        </w:tc>
        <w:tc>
          <w:tcPr>
            <w:tcW w:w="1183" w:type="dxa"/>
            <w:noWrap/>
            <w:hideMark/>
          </w:tcPr>
          <w:p w14:paraId="3660ABC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4,242,576</w:t>
            </w:r>
          </w:p>
        </w:tc>
      </w:tr>
      <w:tr w:rsidR="00424970" w14:paraId="456798DD" w14:textId="77777777" w:rsidTr="00753E23">
        <w:trPr>
          <w:trHeight w:val="290"/>
        </w:trPr>
        <w:tc>
          <w:tcPr>
            <w:tcW w:w="5801" w:type="dxa"/>
            <w:noWrap/>
            <w:hideMark/>
          </w:tcPr>
          <w:p w14:paraId="4E09C11E" w14:textId="73F4EB91"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Right-of-</w:t>
            </w:r>
            <w:r w:rsidR="00753E23" w:rsidRPr="00550113">
              <w:rPr>
                <w:rFonts w:ascii="Times New Roman" w:hAnsi="Times New Roman" w:cs="Times New Roman"/>
                <w:sz w:val="24"/>
                <w:szCs w:val="24"/>
              </w:rPr>
              <w:t>use assets</w:t>
            </w:r>
          </w:p>
        </w:tc>
        <w:tc>
          <w:tcPr>
            <w:tcW w:w="1183" w:type="dxa"/>
            <w:noWrap/>
            <w:hideMark/>
          </w:tcPr>
          <w:p w14:paraId="67428AA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4,264,007</w:t>
            </w:r>
          </w:p>
        </w:tc>
        <w:tc>
          <w:tcPr>
            <w:tcW w:w="1183" w:type="dxa"/>
            <w:noWrap/>
            <w:hideMark/>
          </w:tcPr>
          <w:p w14:paraId="7ECDA13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4,428,423</w:t>
            </w:r>
          </w:p>
        </w:tc>
        <w:tc>
          <w:tcPr>
            <w:tcW w:w="1183" w:type="dxa"/>
            <w:noWrap/>
            <w:hideMark/>
          </w:tcPr>
          <w:p w14:paraId="31AFEEC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4,401,235</w:t>
            </w:r>
          </w:p>
        </w:tc>
      </w:tr>
      <w:tr w:rsidR="00424970" w14:paraId="5121B9E2" w14:textId="77777777" w:rsidTr="00753E23">
        <w:trPr>
          <w:trHeight w:val="290"/>
        </w:trPr>
        <w:tc>
          <w:tcPr>
            <w:tcW w:w="5801" w:type="dxa"/>
            <w:noWrap/>
            <w:hideMark/>
          </w:tcPr>
          <w:p w14:paraId="326030F3" w14:textId="4DACDBA8"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Intangible assets</w:t>
            </w:r>
          </w:p>
        </w:tc>
        <w:tc>
          <w:tcPr>
            <w:tcW w:w="1183" w:type="dxa"/>
            <w:noWrap/>
            <w:hideMark/>
          </w:tcPr>
          <w:p w14:paraId="2F42ABE0"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1,419,384</w:t>
            </w:r>
          </w:p>
        </w:tc>
        <w:tc>
          <w:tcPr>
            <w:tcW w:w="1183" w:type="dxa"/>
            <w:noWrap/>
            <w:hideMark/>
          </w:tcPr>
          <w:p w14:paraId="2BC882C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1,447,308</w:t>
            </w:r>
          </w:p>
        </w:tc>
        <w:tc>
          <w:tcPr>
            <w:tcW w:w="1183" w:type="dxa"/>
            <w:noWrap/>
            <w:hideMark/>
          </w:tcPr>
          <w:p w14:paraId="464E9E7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1,469,214</w:t>
            </w:r>
          </w:p>
        </w:tc>
      </w:tr>
      <w:tr w:rsidR="00424970" w14:paraId="377A9D88" w14:textId="77777777" w:rsidTr="00753E23">
        <w:trPr>
          <w:trHeight w:val="290"/>
        </w:trPr>
        <w:tc>
          <w:tcPr>
            <w:tcW w:w="5801" w:type="dxa"/>
            <w:noWrap/>
            <w:hideMark/>
          </w:tcPr>
          <w:p w14:paraId="15E4E29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Goodwill</w:t>
            </w:r>
          </w:p>
        </w:tc>
        <w:tc>
          <w:tcPr>
            <w:tcW w:w="1183" w:type="dxa"/>
            <w:noWrap/>
            <w:hideMark/>
          </w:tcPr>
          <w:p w14:paraId="08D5FD1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13,589,294</w:t>
            </w:r>
          </w:p>
        </w:tc>
        <w:tc>
          <w:tcPr>
            <w:tcW w:w="1183" w:type="dxa"/>
            <w:noWrap/>
            <w:hideMark/>
          </w:tcPr>
          <w:p w14:paraId="145A6E30"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14,060,205</w:t>
            </w:r>
          </w:p>
        </w:tc>
        <w:tc>
          <w:tcPr>
            <w:tcW w:w="1183" w:type="dxa"/>
            <w:noWrap/>
            <w:hideMark/>
          </w:tcPr>
          <w:p w14:paraId="6C41E85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14,257,982</w:t>
            </w:r>
          </w:p>
        </w:tc>
      </w:tr>
      <w:tr w:rsidR="00424970" w14:paraId="09D4BC1E" w14:textId="77777777" w:rsidTr="00753E23">
        <w:trPr>
          <w:trHeight w:val="290"/>
        </w:trPr>
        <w:tc>
          <w:tcPr>
            <w:tcW w:w="5801" w:type="dxa"/>
            <w:noWrap/>
            <w:hideMark/>
          </w:tcPr>
          <w:p w14:paraId="75FA3B1A" w14:textId="1F48DB28"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Deferred taxes</w:t>
            </w:r>
          </w:p>
        </w:tc>
        <w:tc>
          <w:tcPr>
            <w:tcW w:w="1183" w:type="dxa"/>
            <w:noWrap/>
            <w:hideMark/>
          </w:tcPr>
          <w:p w14:paraId="1BBA465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429,150</w:t>
            </w:r>
          </w:p>
        </w:tc>
        <w:tc>
          <w:tcPr>
            <w:tcW w:w="1183" w:type="dxa"/>
            <w:noWrap/>
            <w:hideMark/>
          </w:tcPr>
          <w:p w14:paraId="54292EAD"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391,344</w:t>
            </w:r>
          </w:p>
        </w:tc>
        <w:tc>
          <w:tcPr>
            <w:tcW w:w="1183" w:type="dxa"/>
            <w:noWrap/>
            <w:hideMark/>
          </w:tcPr>
          <w:p w14:paraId="4AF0901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382,470</w:t>
            </w:r>
          </w:p>
        </w:tc>
      </w:tr>
      <w:tr w:rsidR="00424970" w14:paraId="700C9D6F" w14:textId="77777777" w:rsidTr="00753E23">
        <w:trPr>
          <w:trHeight w:val="290"/>
        </w:trPr>
        <w:tc>
          <w:tcPr>
            <w:tcW w:w="5801" w:type="dxa"/>
            <w:noWrap/>
            <w:hideMark/>
          </w:tcPr>
          <w:p w14:paraId="414184BE" w14:textId="784F768C"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Investment in equity method investees</w:t>
            </w:r>
          </w:p>
        </w:tc>
        <w:tc>
          <w:tcPr>
            <w:tcW w:w="1183" w:type="dxa"/>
            <w:noWrap/>
            <w:hideMark/>
          </w:tcPr>
          <w:p w14:paraId="098E4F8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706,994</w:t>
            </w:r>
          </w:p>
        </w:tc>
        <w:tc>
          <w:tcPr>
            <w:tcW w:w="1183" w:type="dxa"/>
            <w:noWrap/>
            <w:hideMark/>
          </w:tcPr>
          <w:p w14:paraId="338ECEF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686,025</w:t>
            </w:r>
          </w:p>
        </w:tc>
        <w:tc>
          <w:tcPr>
            <w:tcW w:w="1183" w:type="dxa"/>
            <w:noWrap/>
            <w:hideMark/>
          </w:tcPr>
          <w:p w14:paraId="08A654B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717,142</w:t>
            </w:r>
          </w:p>
        </w:tc>
      </w:tr>
      <w:tr w:rsidR="00424970" w14:paraId="6F893E29" w14:textId="77777777" w:rsidTr="00753E23">
        <w:trPr>
          <w:trHeight w:val="290"/>
        </w:trPr>
        <w:tc>
          <w:tcPr>
            <w:tcW w:w="5801" w:type="dxa"/>
            <w:noWrap/>
            <w:hideMark/>
          </w:tcPr>
          <w:p w14:paraId="2F00AAEE" w14:textId="31E896A3"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Other non-current assets</w:t>
            </w:r>
          </w:p>
        </w:tc>
        <w:tc>
          <w:tcPr>
            <w:tcW w:w="1183" w:type="dxa"/>
            <w:noWrap/>
            <w:hideMark/>
          </w:tcPr>
          <w:p w14:paraId="47AA2CD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736,487</w:t>
            </w:r>
          </w:p>
        </w:tc>
        <w:tc>
          <w:tcPr>
            <w:tcW w:w="1183" w:type="dxa"/>
            <w:noWrap/>
            <w:hideMark/>
          </w:tcPr>
          <w:p w14:paraId="6686759D"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801,172</w:t>
            </w:r>
          </w:p>
        </w:tc>
        <w:tc>
          <w:tcPr>
            <w:tcW w:w="1183" w:type="dxa"/>
            <w:noWrap/>
            <w:hideMark/>
          </w:tcPr>
          <w:p w14:paraId="4F5AF58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745,924</w:t>
            </w:r>
          </w:p>
        </w:tc>
      </w:tr>
      <w:tr w:rsidR="00424970" w14:paraId="056B59A2" w14:textId="77777777" w:rsidTr="00753E23">
        <w:trPr>
          <w:trHeight w:val="290"/>
        </w:trPr>
        <w:tc>
          <w:tcPr>
            <w:tcW w:w="5801" w:type="dxa"/>
            <w:noWrap/>
            <w:hideMark/>
          </w:tcPr>
          <w:p w14:paraId="7F22A519" w14:textId="4725247D"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non-current assets</w:t>
            </w:r>
          </w:p>
        </w:tc>
        <w:tc>
          <w:tcPr>
            <w:tcW w:w="1183" w:type="dxa"/>
            <w:noWrap/>
            <w:hideMark/>
          </w:tcPr>
          <w:p w14:paraId="6F24BA2C"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25,225,067</w:t>
            </w:r>
          </w:p>
        </w:tc>
        <w:tc>
          <w:tcPr>
            <w:tcW w:w="1183" w:type="dxa"/>
            <w:noWrap/>
            <w:hideMark/>
          </w:tcPr>
          <w:p w14:paraId="6F072131"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26,008,332</w:t>
            </w:r>
          </w:p>
        </w:tc>
        <w:tc>
          <w:tcPr>
            <w:tcW w:w="1183" w:type="dxa"/>
            <w:noWrap/>
            <w:hideMark/>
          </w:tcPr>
          <w:p w14:paraId="7F9154B3"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26,216,543</w:t>
            </w:r>
          </w:p>
        </w:tc>
      </w:tr>
      <w:tr w:rsidR="00424970" w14:paraId="11C0B74D" w14:textId="77777777" w:rsidTr="00753E23">
        <w:trPr>
          <w:trHeight w:val="300"/>
        </w:trPr>
        <w:tc>
          <w:tcPr>
            <w:tcW w:w="5801" w:type="dxa"/>
            <w:noWrap/>
            <w:hideMark/>
          </w:tcPr>
          <w:p w14:paraId="025A400C" w14:textId="46ECAAA2"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assets</w:t>
            </w:r>
          </w:p>
        </w:tc>
        <w:tc>
          <w:tcPr>
            <w:tcW w:w="1183" w:type="dxa"/>
            <w:noWrap/>
            <w:hideMark/>
          </w:tcPr>
          <w:p w14:paraId="5B57B592"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33,049,135</w:t>
            </w:r>
          </w:p>
        </w:tc>
        <w:tc>
          <w:tcPr>
            <w:tcW w:w="1183" w:type="dxa"/>
            <w:noWrap/>
            <w:hideMark/>
          </w:tcPr>
          <w:p w14:paraId="4EDD7822"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34,189,853</w:t>
            </w:r>
          </w:p>
        </w:tc>
        <w:tc>
          <w:tcPr>
            <w:tcW w:w="1183" w:type="dxa"/>
            <w:noWrap/>
            <w:hideMark/>
          </w:tcPr>
          <w:p w14:paraId="215695E2"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34,072,427</w:t>
            </w:r>
          </w:p>
        </w:tc>
      </w:tr>
      <w:tr w:rsidR="00424970" w14:paraId="15A86F21" w14:textId="77777777" w:rsidTr="00753E23">
        <w:trPr>
          <w:trHeight w:val="290"/>
        </w:trPr>
        <w:tc>
          <w:tcPr>
            <w:tcW w:w="5801" w:type="dxa"/>
            <w:noWrap/>
            <w:hideMark/>
          </w:tcPr>
          <w:p w14:paraId="2944C14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Liabilities </w:t>
            </w:r>
          </w:p>
        </w:tc>
        <w:tc>
          <w:tcPr>
            <w:tcW w:w="1183" w:type="dxa"/>
            <w:noWrap/>
            <w:hideMark/>
          </w:tcPr>
          <w:p w14:paraId="4DB81630"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2A381544"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4494A5C6" w14:textId="77777777" w:rsidR="007358CE" w:rsidRPr="00550113" w:rsidRDefault="007358CE" w:rsidP="00550113">
            <w:pPr>
              <w:spacing w:line="480" w:lineRule="auto"/>
              <w:rPr>
                <w:rFonts w:ascii="Times New Roman" w:hAnsi="Times New Roman" w:cs="Times New Roman"/>
                <w:sz w:val="24"/>
                <w:szCs w:val="24"/>
              </w:rPr>
            </w:pPr>
          </w:p>
        </w:tc>
      </w:tr>
      <w:tr w:rsidR="00424970" w14:paraId="75F856D0" w14:textId="77777777" w:rsidTr="00753E23">
        <w:trPr>
          <w:trHeight w:val="290"/>
        </w:trPr>
        <w:tc>
          <w:tcPr>
            <w:tcW w:w="5801" w:type="dxa"/>
            <w:noWrap/>
            <w:hideMark/>
          </w:tcPr>
          <w:p w14:paraId="79BC026D" w14:textId="38C5FCD6"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Accounts payable</w:t>
            </w:r>
          </w:p>
        </w:tc>
        <w:tc>
          <w:tcPr>
            <w:tcW w:w="1183" w:type="dxa"/>
            <w:noWrap/>
            <w:hideMark/>
          </w:tcPr>
          <w:p w14:paraId="3CB60DB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728,592</w:t>
            </w:r>
          </w:p>
        </w:tc>
        <w:tc>
          <w:tcPr>
            <w:tcW w:w="1183" w:type="dxa"/>
            <w:noWrap/>
            <w:hideMark/>
          </w:tcPr>
          <w:p w14:paraId="2F3880D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678,121</w:t>
            </w:r>
          </w:p>
        </w:tc>
        <w:tc>
          <w:tcPr>
            <w:tcW w:w="1183" w:type="dxa"/>
            <w:noWrap/>
            <w:hideMark/>
          </w:tcPr>
          <w:p w14:paraId="25B398C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762,384</w:t>
            </w:r>
          </w:p>
        </w:tc>
      </w:tr>
      <w:tr w:rsidR="00424970" w14:paraId="2C0B36EF" w14:textId="77777777" w:rsidTr="00753E23">
        <w:trPr>
          <w:trHeight w:val="290"/>
        </w:trPr>
        <w:tc>
          <w:tcPr>
            <w:tcW w:w="5801" w:type="dxa"/>
            <w:noWrap/>
            <w:hideMark/>
          </w:tcPr>
          <w:p w14:paraId="532771EE" w14:textId="1B118779"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Accounts payable to related parties</w:t>
            </w:r>
          </w:p>
        </w:tc>
        <w:tc>
          <w:tcPr>
            <w:tcW w:w="1183" w:type="dxa"/>
            <w:noWrap/>
            <w:hideMark/>
          </w:tcPr>
          <w:p w14:paraId="2B4AA7C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132,300</w:t>
            </w:r>
          </w:p>
        </w:tc>
        <w:tc>
          <w:tcPr>
            <w:tcW w:w="1183" w:type="dxa"/>
            <w:noWrap/>
            <w:hideMark/>
          </w:tcPr>
          <w:p w14:paraId="6A1361D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135,309</w:t>
            </w:r>
          </w:p>
        </w:tc>
        <w:tc>
          <w:tcPr>
            <w:tcW w:w="1183" w:type="dxa"/>
            <w:noWrap/>
            <w:hideMark/>
          </w:tcPr>
          <w:p w14:paraId="049D928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134,159</w:t>
            </w:r>
          </w:p>
        </w:tc>
      </w:tr>
      <w:tr w:rsidR="00424970" w14:paraId="762B6932" w14:textId="77777777" w:rsidTr="00753E23">
        <w:trPr>
          <w:trHeight w:val="290"/>
        </w:trPr>
        <w:tc>
          <w:tcPr>
            <w:tcW w:w="5801" w:type="dxa"/>
            <w:noWrap/>
            <w:hideMark/>
          </w:tcPr>
          <w:p w14:paraId="45474C43" w14:textId="55E61F56"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Current provisions and other current liabilities</w:t>
            </w:r>
          </w:p>
        </w:tc>
        <w:tc>
          <w:tcPr>
            <w:tcW w:w="1183" w:type="dxa"/>
            <w:noWrap/>
            <w:hideMark/>
          </w:tcPr>
          <w:p w14:paraId="5B456D3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39,245,877</w:t>
            </w:r>
          </w:p>
        </w:tc>
        <w:tc>
          <w:tcPr>
            <w:tcW w:w="1183" w:type="dxa"/>
            <w:noWrap/>
            <w:hideMark/>
          </w:tcPr>
          <w:p w14:paraId="117BF71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4,091,404</w:t>
            </w:r>
          </w:p>
        </w:tc>
        <w:tc>
          <w:tcPr>
            <w:tcW w:w="1183" w:type="dxa"/>
            <w:noWrap/>
            <w:hideMark/>
          </w:tcPr>
          <w:p w14:paraId="5BC380A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2,947,601</w:t>
            </w:r>
          </w:p>
        </w:tc>
      </w:tr>
      <w:tr w:rsidR="00424970" w14:paraId="7BF520CC" w14:textId="77777777" w:rsidTr="00753E23">
        <w:trPr>
          <w:trHeight w:val="290"/>
        </w:trPr>
        <w:tc>
          <w:tcPr>
            <w:tcW w:w="5801" w:type="dxa"/>
            <w:noWrap/>
            <w:hideMark/>
          </w:tcPr>
          <w:p w14:paraId="7A6F9DE5" w14:textId="3E8A25F9"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Short-</w:t>
            </w:r>
            <w:r w:rsidR="00753E23" w:rsidRPr="00550113">
              <w:rPr>
                <w:rFonts w:ascii="Times New Roman" w:hAnsi="Times New Roman" w:cs="Times New Roman"/>
                <w:sz w:val="24"/>
                <w:szCs w:val="24"/>
              </w:rPr>
              <w:t>term debt</w:t>
            </w:r>
          </w:p>
        </w:tc>
        <w:tc>
          <w:tcPr>
            <w:tcW w:w="1183" w:type="dxa"/>
            <w:noWrap/>
            <w:hideMark/>
          </w:tcPr>
          <w:p w14:paraId="2709486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307,011</w:t>
            </w:r>
          </w:p>
        </w:tc>
        <w:tc>
          <w:tcPr>
            <w:tcW w:w="1183" w:type="dxa"/>
            <w:noWrap/>
            <w:hideMark/>
          </w:tcPr>
          <w:p w14:paraId="2A2BC57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875,631</w:t>
            </w:r>
          </w:p>
        </w:tc>
        <w:tc>
          <w:tcPr>
            <w:tcW w:w="1183" w:type="dxa"/>
            <w:noWrap/>
            <w:hideMark/>
          </w:tcPr>
          <w:p w14:paraId="6C43B14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1,506,911</w:t>
            </w:r>
          </w:p>
        </w:tc>
      </w:tr>
      <w:tr w:rsidR="00424970" w14:paraId="05343AF7" w14:textId="77777777" w:rsidTr="00753E23">
        <w:trPr>
          <w:trHeight w:val="290"/>
        </w:trPr>
        <w:tc>
          <w:tcPr>
            <w:tcW w:w="5801" w:type="dxa"/>
            <w:noWrap/>
            <w:hideMark/>
          </w:tcPr>
          <w:p w14:paraId="05F825E1" w14:textId="1C2ACFBC"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Short-</w:t>
            </w:r>
            <w:r w:rsidR="00753E23" w:rsidRPr="00550113">
              <w:rPr>
                <w:rFonts w:ascii="Times New Roman" w:hAnsi="Times New Roman" w:cs="Times New Roman"/>
                <w:sz w:val="24"/>
                <w:szCs w:val="24"/>
              </w:rPr>
              <w:t>term debt from related parties</w:t>
            </w:r>
          </w:p>
        </w:tc>
        <w:tc>
          <w:tcPr>
            <w:tcW w:w="1183" w:type="dxa"/>
            <w:noWrap/>
            <w:hideMark/>
          </w:tcPr>
          <w:p w14:paraId="1BD1CE4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85,900</w:t>
            </w:r>
          </w:p>
        </w:tc>
        <w:tc>
          <w:tcPr>
            <w:tcW w:w="1183" w:type="dxa"/>
            <w:noWrap/>
            <w:hideMark/>
          </w:tcPr>
          <w:p w14:paraId="5AE353B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3,000</w:t>
            </w:r>
          </w:p>
        </w:tc>
        <w:tc>
          <w:tcPr>
            <w:tcW w:w="1183" w:type="dxa"/>
            <w:noWrap/>
            <w:hideMark/>
          </w:tcPr>
          <w:p w14:paraId="5E0F1F6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520,600</w:t>
            </w:r>
          </w:p>
        </w:tc>
      </w:tr>
      <w:tr w:rsidR="00424970" w14:paraId="0374B49F" w14:textId="77777777" w:rsidTr="00753E23">
        <w:trPr>
          <w:trHeight w:val="290"/>
        </w:trPr>
        <w:tc>
          <w:tcPr>
            <w:tcW w:w="5801" w:type="dxa"/>
            <w:noWrap/>
            <w:hideMark/>
          </w:tcPr>
          <w:p w14:paraId="3FC6BDF8" w14:textId="64B0D85F"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Current portion of long-term debt</w:t>
            </w:r>
          </w:p>
        </w:tc>
        <w:tc>
          <w:tcPr>
            <w:tcW w:w="1183" w:type="dxa"/>
            <w:noWrap/>
            <w:hideMark/>
          </w:tcPr>
          <w:p w14:paraId="46729B5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1,046,030</w:t>
            </w:r>
          </w:p>
        </w:tc>
        <w:tc>
          <w:tcPr>
            <w:tcW w:w="1183" w:type="dxa"/>
            <w:noWrap/>
            <w:hideMark/>
          </w:tcPr>
          <w:p w14:paraId="35BD9CE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1,512,658</w:t>
            </w:r>
          </w:p>
        </w:tc>
        <w:tc>
          <w:tcPr>
            <w:tcW w:w="1183" w:type="dxa"/>
            <w:noWrap/>
            <w:hideMark/>
          </w:tcPr>
          <w:p w14:paraId="4638933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1,964,695</w:t>
            </w:r>
          </w:p>
        </w:tc>
      </w:tr>
      <w:tr w:rsidR="00424970" w14:paraId="30E33C3F" w14:textId="77777777" w:rsidTr="00753E23">
        <w:trPr>
          <w:trHeight w:val="290"/>
        </w:trPr>
        <w:tc>
          <w:tcPr>
            <w:tcW w:w="5801" w:type="dxa"/>
            <w:noWrap/>
            <w:hideMark/>
          </w:tcPr>
          <w:p w14:paraId="2F41F31B" w14:textId="2FC280FA"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Current portion of long-term lease liabilities</w:t>
            </w:r>
          </w:p>
        </w:tc>
        <w:tc>
          <w:tcPr>
            <w:tcW w:w="1183" w:type="dxa"/>
            <w:noWrap/>
            <w:hideMark/>
          </w:tcPr>
          <w:p w14:paraId="1018274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605,234</w:t>
            </w:r>
          </w:p>
        </w:tc>
        <w:tc>
          <w:tcPr>
            <w:tcW w:w="1183" w:type="dxa"/>
            <w:noWrap/>
            <w:hideMark/>
          </w:tcPr>
          <w:p w14:paraId="09A6B74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622,321</w:t>
            </w:r>
          </w:p>
        </w:tc>
        <w:tc>
          <w:tcPr>
            <w:tcW w:w="1183" w:type="dxa"/>
            <w:noWrap/>
            <w:hideMark/>
          </w:tcPr>
          <w:p w14:paraId="5BD2611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629,856</w:t>
            </w:r>
          </w:p>
        </w:tc>
      </w:tr>
      <w:tr w:rsidR="00424970" w14:paraId="38804761" w14:textId="77777777" w:rsidTr="00753E23">
        <w:trPr>
          <w:trHeight w:val="290"/>
        </w:trPr>
        <w:tc>
          <w:tcPr>
            <w:tcW w:w="5801" w:type="dxa"/>
            <w:noWrap/>
            <w:hideMark/>
          </w:tcPr>
          <w:p w14:paraId="188AF9A8" w14:textId="7EBBF611"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lastRenderedPageBreak/>
              <w:t>Current portion of long-term lease liabilities from related parties</w:t>
            </w:r>
          </w:p>
        </w:tc>
        <w:tc>
          <w:tcPr>
            <w:tcW w:w="1183" w:type="dxa"/>
            <w:noWrap/>
            <w:hideMark/>
          </w:tcPr>
          <w:p w14:paraId="2698616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20,795</w:t>
            </w:r>
          </w:p>
        </w:tc>
        <w:tc>
          <w:tcPr>
            <w:tcW w:w="1183" w:type="dxa"/>
            <w:noWrap/>
            <w:hideMark/>
          </w:tcPr>
          <w:p w14:paraId="3EDE395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20,592</w:t>
            </w:r>
          </w:p>
        </w:tc>
        <w:tc>
          <w:tcPr>
            <w:tcW w:w="1183" w:type="dxa"/>
            <w:noWrap/>
            <w:hideMark/>
          </w:tcPr>
          <w:p w14:paraId="6E4A6E8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17,073</w:t>
            </w:r>
          </w:p>
        </w:tc>
      </w:tr>
      <w:tr w:rsidR="00424970" w14:paraId="5C83CC68" w14:textId="77777777" w:rsidTr="00753E23">
        <w:trPr>
          <w:trHeight w:val="290"/>
        </w:trPr>
        <w:tc>
          <w:tcPr>
            <w:tcW w:w="5801" w:type="dxa"/>
            <w:noWrap/>
            <w:hideMark/>
          </w:tcPr>
          <w:p w14:paraId="2C3F2F94" w14:textId="48056D05"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Income tax payable</w:t>
            </w:r>
          </w:p>
        </w:tc>
        <w:tc>
          <w:tcPr>
            <w:tcW w:w="1183" w:type="dxa"/>
            <w:noWrap/>
            <w:hideMark/>
          </w:tcPr>
          <w:p w14:paraId="0F11045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192,715</w:t>
            </w:r>
          </w:p>
        </w:tc>
        <w:tc>
          <w:tcPr>
            <w:tcW w:w="1183" w:type="dxa"/>
            <w:noWrap/>
            <w:hideMark/>
          </w:tcPr>
          <w:p w14:paraId="1AE0C465"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124,977</w:t>
            </w:r>
          </w:p>
        </w:tc>
        <w:tc>
          <w:tcPr>
            <w:tcW w:w="1183" w:type="dxa"/>
            <w:noWrap/>
            <w:hideMark/>
          </w:tcPr>
          <w:p w14:paraId="3BDB060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118,967</w:t>
            </w:r>
          </w:p>
        </w:tc>
      </w:tr>
      <w:tr w:rsidR="00424970" w14:paraId="175BADF4" w14:textId="77777777" w:rsidTr="00753E23">
        <w:trPr>
          <w:trHeight w:val="290"/>
        </w:trPr>
        <w:tc>
          <w:tcPr>
            <w:tcW w:w="5801" w:type="dxa"/>
            <w:noWrap/>
            <w:hideMark/>
          </w:tcPr>
          <w:p w14:paraId="474587A6" w14:textId="284E6583"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current liabilities</w:t>
            </w:r>
          </w:p>
        </w:tc>
        <w:tc>
          <w:tcPr>
            <w:tcW w:w="1183" w:type="dxa"/>
            <w:noWrap/>
            <w:hideMark/>
          </w:tcPr>
          <w:p w14:paraId="5171CB49"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7,043,154</w:t>
            </w:r>
          </w:p>
        </w:tc>
        <w:tc>
          <w:tcPr>
            <w:tcW w:w="1183" w:type="dxa"/>
            <w:noWrap/>
            <w:hideMark/>
          </w:tcPr>
          <w:p w14:paraId="1590A383"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8,064,013</w:t>
            </w:r>
          </w:p>
        </w:tc>
        <w:tc>
          <w:tcPr>
            <w:tcW w:w="1183" w:type="dxa"/>
            <w:noWrap/>
            <w:hideMark/>
          </w:tcPr>
          <w:p w14:paraId="68DD92F5"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8,602,246</w:t>
            </w:r>
          </w:p>
        </w:tc>
      </w:tr>
      <w:tr w:rsidR="00424970" w14:paraId="778D941D" w14:textId="77777777" w:rsidTr="00753E23">
        <w:trPr>
          <w:trHeight w:val="290"/>
        </w:trPr>
        <w:tc>
          <w:tcPr>
            <w:tcW w:w="5801" w:type="dxa"/>
            <w:noWrap/>
            <w:hideMark/>
          </w:tcPr>
          <w:p w14:paraId="332D212A" w14:textId="634E700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Long-</w:t>
            </w:r>
            <w:r w:rsidR="00753E23" w:rsidRPr="00550113">
              <w:rPr>
                <w:rFonts w:ascii="Times New Roman" w:hAnsi="Times New Roman" w:cs="Times New Roman"/>
                <w:sz w:val="24"/>
                <w:szCs w:val="24"/>
              </w:rPr>
              <w:t>term debt, less current portion</w:t>
            </w:r>
          </w:p>
        </w:tc>
        <w:tc>
          <w:tcPr>
            <w:tcW w:w="1183" w:type="dxa"/>
            <w:noWrap/>
            <w:hideMark/>
          </w:tcPr>
          <w:p w14:paraId="655E129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6,979,668</w:t>
            </w:r>
          </w:p>
        </w:tc>
        <w:tc>
          <w:tcPr>
            <w:tcW w:w="1183" w:type="dxa"/>
            <w:noWrap/>
            <w:hideMark/>
          </w:tcPr>
          <w:p w14:paraId="64FBE58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6,273,995</w:t>
            </w:r>
          </w:p>
        </w:tc>
        <w:tc>
          <w:tcPr>
            <w:tcW w:w="1183" w:type="dxa"/>
            <w:noWrap/>
            <w:hideMark/>
          </w:tcPr>
          <w:p w14:paraId="2EA1282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5,803,399</w:t>
            </w:r>
          </w:p>
        </w:tc>
      </w:tr>
      <w:tr w:rsidR="00424970" w14:paraId="49967DFF" w14:textId="77777777" w:rsidTr="00753E23">
        <w:trPr>
          <w:trHeight w:val="290"/>
        </w:trPr>
        <w:tc>
          <w:tcPr>
            <w:tcW w:w="5801" w:type="dxa"/>
            <w:noWrap/>
            <w:hideMark/>
          </w:tcPr>
          <w:p w14:paraId="0D780EBB" w14:textId="0E0E07BB"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Long-</w:t>
            </w:r>
            <w:r w:rsidR="00753E23" w:rsidRPr="00550113">
              <w:rPr>
                <w:rFonts w:ascii="Times New Roman" w:hAnsi="Times New Roman" w:cs="Times New Roman"/>
                <w:sz w:val="24"/>
                <w:szCs w:val="24"/>
              </w:rPr>
              <w:t>term lease liabilities, less current portion</w:t>
            </w:r>
          </w:p>
        </w:tc>
        <w:tc>
          <w:tcPr>
            <w:tcW w:w="1183" w:type="dxa"/>
            <w:noWrap/>
            <w:hideMark/>
          </w:tcPr>
          <w:p w14:paraId="51D9C88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3,882,843</w:t>
            </w:r>
          </w:p>
        </w:tc>
        <w:tc>
          <w:tcPr>
            <w:tcW w:w="1183" w:type="dxa"/>
            <w:noWrap/>
            <w:hideMark/>
          </w:tcPr>
          <w:p w14:paraId="2AEE4CB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4,039,325</w:t>
            </w:r>
          </w:p>
        </w:tc>
        <w:tc>
          <w:tcPr>
            <w:tcW w:w="1183" w:type="dxa"/>
            <w:noWrap/>
            <w:hideMark/>
          </w:tcPr>
          <w:p w14:paraId="1301DD6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4,030,231</w:t>
            </w:r>
          </w:p>
        </w:tc>
      </w:tr>
      <w:tr w:rsidR="00424970" w14:paraId="4025380F" w14:textId="77777777" w:rsidTr="00753E23">
        <w:trPr>
          <w:trHeight w:val="290"/>
        </w:trPr>
        <w:tc>
          <w:tcPr>
            <w:tcW w:w="5801" w:type="dxa"/>
            <w:noWrap/>
            <w:hideMark/>
          </w:tcPr>
          <w:p w14:paraId="2D6C7C79" w14:textId="3E54E20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Long-</w:t>
            </w:r>
            <w:r w:rsidR="00753E23" w:rsidRPr="00550113">
              <w:rPr>
                <w:rFonts w:ascii="Times New Roman" w:hAnsi="Times New Roman" w:cs="Times New Roman"/>
                <w:sz w:val="24"/>
                <w:szCs w:val="24"/>
              </w:rPr>
              <w:t>term lease liabilities from related parties, less current portion</w:t>
            </w:r>
          </w:p>
        </w:tc>
        <w:tc>
          <w:tcPr>
            <w:tcW w:w="1183" w:type="dxa"/>
            <w:noWrap/>
            <w:hideMark/>
          </w:tcPr>
          <w:p w14:paraId="35F009D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125,236</w:t>
            </w:r>
          </w:p>
        </w:tc>
        <w:tc>
          <w:tcPr>
            <w:tcW w:w="1183" w:type="dxa"/>
            <w:noWrap/>
            <w:hideMark/>
          </w:tcPr>
          <w:p w14:paraId="54B58B4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129,995</w:t>
            </w:r>
          </w:p>
        </w:tc>
        <w:tc>
          <w:tcPr>
            <w:tcW w:w="1183" w:type="dxa"/>
            <w:noWrap/>
            <w:hideMark/>
          </w:tcPr>
          <w:p w14:paraId="53AD731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104,469</w:t>
            </w:r>
          </w:p>
        </w:tc>
      </w:tr>
      <w:tr w:rsidR="00424970" w14:paraId="4A927227" w14:textId="77777777" w:rsidTr="00753E23">
        <w:trPr>
          <w:trHeight w:val="290"/>
        </w:trPr>
        <w:tc>
          <w:tcPr>
            <w:tcW w:w="5801" w:type="dxa"/>
            <w:noWrap/>
            <w:hideMark/>
          </w:tcPr>
          <w:p w14:paraId="6EE47734" w14:textId="27F2CF2C"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Non-</w:t>
            </w:r>
            <w:r w:rsidR="00753E23" w:rsidRPr="00550113">
              <w:rPr>
                <w:rFonts w:ascii="Times New Roman" w:hAnsi="Times New Roman" w:cs="Times New Roman"/>
                <w:sz w:val="24"/>
                <w:szCs w:val="24"/>
              </w:rPr>
              <w:t>current provisions and other non</w:t>
            </w:r>
            <w:r w:rsidRPr="00550113">
              <w:rPr>
                <w:rFonts w:ascii="Times New Roman" w:hAnsi="Times New Roman" w:cs="Times New Roman"/>
                <w:sz w:val="24"/>
                <w:szCs w:val="24"/>
              </w:rPr>
              <w:t>-</w:t>
            </w:r>
            <w:r w:rsidR="00753E23" w:rsidRPr="00550113">
              <w:rPr>
                <w:rFonts w:ascii="Times New Roman" w:hAnsi="Times New Roman" w:cs="Times New Roman"/>
                <w:sz w:val="24"/>
                <w:szCs w:val="24"/>
              </w:rPr>
              <w:t>current liabilities</w:t>
            </w:r>
          </w:p>
        </w:tc>
        <w:tc>
          <w:tcPr>
            <w:tcW w:w="1183" w:type="dxa"/>
            <w:noWrap/>
            <w:hideMark/>
          </w:tcPr>
          <w:p w14:paraId="4DBE0B5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750,625</w:t>
            </w:r>
          </w:p>
        </w:tc>
        <w:tc>
          <w:tcPr>
            <w:tcW w:w="1183" w:type="dxa"/>
            <w:noWrap/>
            <w:hideMark/>
          </w:tcPr>
          <w:p w14:paraId="0EC5CF6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743,293</w:t>
            </w:r>
          </w:p>
        </w:tc>
        <w:tc>
          <w:tcPr>
            <w:tcW w:w="1183" w:type="dxa"/>
            <w:noWrap/>
            <w:hideMark/>
          </w:tcPr>
          <w:p w14:paraId="55B2E1E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677,364</w:t>
            </w:r>
          </w:p>
        </w:tc>
      </w:tr>
      <w:tr w:rsidR="00424970" w14:paraId="10C8A60E" w14:textId="77777777" w:rsidTr="00753E23">
        <w:trPr>
          <w:trHeight w:val="290"/>
        </w:trPr>
        <w:tc>
          <w:tcPr>
            <w:tcW w:w="5801" w:type="dxa"/>
            <w:noWrap/>
            <w:hideMark/>
          </w:tcPr>
          <w:p w14:paraId="6F322452" w14:textId="62BCA3E1"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Pension liabilities</w:t>
            </w:r>
          </w:p>
        </w:tc>
        <w:tc>
          <w:tcPr>
            <w:tcW w:w="1183" w:type="dxa"/>
            <w:noWrap/>
            <w:hideMark/>
          </w:tcPr>
          <w:p w14:paraId="71A85C0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741,288</w:t>
            </w:r>
          </w:p>
        </w:tc>
        <w:tc>
          <w:tcPr>
            <w:tcW w:w="1183" w:type="dxa"/>
            <w:noWrap/>
            <w:hideMark/>
          </w:tcPr>
          <w:p w14:paraId="62DFEE6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708,991</w:t>
            </w:r>
          </w:p>
        </w:tc>
        <w:tc>
          <w:tcPr>
            <w:tcW w:w="1183" w:type="dxa"/>
            <w:noWrap/>
            <w:hideMark/>
          </w:tcPr>
          <w:p w14:paraId="43C8FE1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704,422</w:t>
            </w:r>
          </w:p>
        </w:tc>
      </w:tr>
      <w:tr w:rsidR="00424970" w14:paraId="10CC1B49" w14:textId="77777777" w:rsidTr="00753E23">
        <w:trPr>
          <w:trHeight w:val="290"/>
        </w:trPr>
        <w:tc>
          <w:tcPr>
            <w:tcW w:w="5801" w:type="dxa"/>
            <w:noWrap/>
            <w:hideMark/>
          </w:tcPr>
          <w:p w14:paraId="7C971790" w14:textId="48D86B2A"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Income tax payable</w:t>
            </w:r>
          </w:p>
        </w:tc>
        <w:tc>
          <w:tcPr>
            <w:tcW w:w="1183" w:type="dxa"/>
            <w:noWrap/>
            <w:hideMark/>
          </w:tcPr>
          <w:p w14:paraId="4B6FDD2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75,999</w:t>
            </w:r>
          </w:p>
        </w:tc>
        <w:tc>
          <w:tcPr>
            <w:tcW w:w="1183" w:type="dxa"/>
            <w:noWrap/>
            <w:hideMark/>
          </w:tcPr>
          <w:p w14:paraId="1D842C7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87,185</w:t>
            </w:r>
          </w:p>
        </w:tc>
        <w:tc>
          <w:tcPr>
            <w:tcW w:w="1183" w:type="dxa"/>
            <w:noWrap/>
            <w:hideMark/>
          </w:tcPr>
          <w:p w14:paraId="72AA780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81,214</w:t>
            </w:r>
          </w:p>
        </w:tc>
      </w:tr>
      <w:tr w:rsidR="00424970" w14:paraId="60019724" w14:textId="77777777" w:rsidTr="00753E23">
        <w:trPr>
          <w:trHeight w:val="290"/>
        </w:trPr>
        <w:tc>
          <w:tcPr>
            <w:tcW w:w="5801" w:type="dxa"/>
            <w:noWrap/>
            <w:hideMark/>
          </w:tcPr>
          <w:p w14:paraId="013F788B" w14:textId="15966E75"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Deferred taxes</w:t>
            </w:r>
          </w:p>
        </w:tc>
        <w:tc>
          <w:tcPr>
            <w:tcW w:w="1183" w:type="dxa"/>
            <w:noWrap/>
            <w:hideMark/>
          </w:tcPr>
          <w:p w14:paraId="7B0028B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794,560</w:t>
            </w:r>
          </w:p>
        </w:tc>
        <w:tc>
          <w:tcPr>
            <w:tcW w:w="1183" w:type="dxa"/>
            <w:noWrap/>
            <w:hideMark/>
          </w:tcPr>
          <w:p w14:paraId="5027B600"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820,434</w:t>
            </w:r>
          </w:p>
        </w:tc>
        <w:tc>
          <w:tcPr>
            <w:tcW w:w="1183" w:type="dxa"/>
            <w:noWrap/>
            <w:hideMark/>
          </w:tcPr>
          <w:p w14:paraId="1E7DED3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799,146</w:t>
            </w:r>
          </w:p>
        </w:tc>
      </w:tr>
      <w:tr w:rsidR="00424970" w14:paraId="50AF564F" w14:textId="77777777" w:rsidTr="00753E23">
        <w:trPr>
          <w:trHeight w:val="290"/>
        </w:trPr>
        <w:tc>
          <w:tcPr>
            <w:tcW w:w="5801" w:type="dxa"/>
            <w:noWrap/>
            <w:hideMark/>
          </w:tcPr>
          <w:p w14:paraId="38102336" w14:textId="4484731A"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non-current liabilities</w:t>
            </w:r>
          </w:p>
        </w:tc>
        <w:tc>
          <w:tcPr>
            <w:tcW w:w="1183" w:type="dxa"/>
            <w:noWrap/>
            <w:hideMark/>
          </w:tcPr>
          <w:p w14:paraId="5E238E01"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13,350,219</w:t>
            </w:r>
          </w:p>
        </w:tc>
        <w:tc>
          <w:tcPr>
            <w:tcW w:w="1183" w:type="dxa"/>
            <w:noWrap/>
            <w:hideMark/>
          </w:tcPr>
          <w:p w14:paraId="150BAFD5"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12,803,218</w:t>
            </w:r>
          </w:p>
        </w:tc>
        <w:tc>
          <w:tcPr>
            <w:tcW w:w="1183" w:type="dxa"/>
            <w:noWrap/>
            <w:hideMark/>
          </w:tcPr>
          <w:p w14:paraId="7C652E54"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12,200,245</w:t>
            </w:r>
          </w:p>
        </w:tc>
      </w:tr>
      <w:tr w:rsidR="00424970" w14:paraId="3F5C3A86" w14:textId="77777777" w:rsidTr="00753E23">
        <w:trPr>
          <w:trHeight w:val="290"/>
        </w:trPr>
        <w:tc>
          <w:tcPr>
            <w:tcW w:w="5801" w:type="dxa"/>
            <w:noWrap/>
            <w:hideMark/>
          </w:tcPr>
          <w:p w14:paraId="718EF009" w14:textId="50101D4F"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liabilities</w:t>
            </w:r>
          </w:p>
        </w:tc>
        <w:tc>
          <w:tcPr>
            <w:tcW w:w="1183" w:type="dxa"/>
            <w:noWrap/>
            <w:hideMark/>
          </w:tcPr>
          <w:p w14:paraId="139B7339"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20,393,373</w:t>
            </w:r>
          </w:p>
        </w:tc>
        <w:tc>
          <w:tcPr>
            <w:tcW w:w="1183" w:type="dxa"/>
            <w:noWrap/>
            <w:hideMark/>
          </w:tcPr>
          <w:p w14:paraId="4D9FFF30"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20,867,231</w:t>
            </w:r>
          </w:p>
        </w:tc>
        <w:tc>
          <w:tcPr>
            <w:tcW w:w="1183" w:type="dxa"/>
            <w:noWrap/>
            <w:hideMark/>
          </w:tcPr>
          <w:p w14:paraId="0E0DB818"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20,802,491</w:t>
            </w:r>
          </w:p>
        </w:tc>
      </w:tr>
      <w:tr w:rsidR="00424970" w14:paraId="4349D128" w14:textId="77777777" w:rsidTr="00753E23">
        <w:trPr>
          <w:trHeight w:val="290"/>
        </w:trPr>
        <w:tc>
          <w:tcPr>
            <w:tcW w:w="5801" w:type="dxa"/>
            <w:noWrap/>
            <w:hideMark/>
          </w:tcPr>
          <w:p w14:paraId="503DFD4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Shareholders' Equity</w:t>
            </w:r>
          </w:p>
        </w:tc>
        <w:tc>
          <w:tcPr>
            <w:tcW w:w="1183" w:type="dxa"/>
            <w:noWrap/>
            <w:hideMark/>
          </w:tcPr>
          <w:p w14:paraId="752B258C"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134C5D01" w14:textId="77777777" w:rsidR="007358CE" w:rsidRPr="00550113" w:rsidRDefault="007358CE" w:rsidP="00550113">
            <w:pPr>
              <w:spacing w:line="480" w:lineRule="auto"/>
              <w:rPr>
                <w:rFonts w:ascii="Times New Roman" w:hAnsi="Times New Roman" w:cs="Times New Roman"/>
                <w:sz w:val="24"/>
                <w:szCs w:val="24"/>
              </w:rPr>
            </w:pPr>
          </w:p>
        </w:tc>
        <w:tc>
          <w:tcPr>
            <w:tcW w:w="1183" w:type="dxa"/>
            <w:noWrap/>
            <w:hideMark/>
          </w:tcPr>
          <w:p w14:paraId="7398ADA0" w14:textId="77777777" w:rsidR="007358CE" w:rsidRPr="00550113" w:rsidRDefault="007358CE" w:rsidP="00550113">
            <w:pPr>
              <w:spacing w:line="480" w:lineRule="auto"/>
              <w:rPr>
                <w:rFonts w:ascii="Times New Roman" w:hAnsi="Times New Roman" w:cs="Times New Roman"/>
                <w:sz w:val="24"/>
                <w:szCs w:val="24"/>
              </w:rPr>
            </w:pPr>
          </w:p>
        </w:tc>
      </w:tr>
      <w:tr w:rsidR="00424970" w14:paraId="341CDC98" w14:textId="77777777" w:rsidTr="00753E23">
        <w:trPr>
          <w:trHeight w:val="290"/>
        </w:trPr>
        <w:tc>
          <w:tcPr>
            <w:tcW w:w="5801" w:type="dxa"/>
            <w:noWrap/>
            <w:hideMark/>
          </w:tcPr>
          <w:p w14:paraId="01E9B318" w14:textId="0064232C"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 xml:space="preserve">Ordinary shares, no par value, A1.00 nominal value, 374,165,226 shares authorized,304,607,990 issued and 292,812,888 outstanding as of June 30, 2020 and 374,165,226shares authorized, 304,436,876 issued and 298,329,247 outstanding as </w:t>
            </w:r>
            <w:r w:rsidR="00753E23" w:rsidRPr="00550113">
              <w:rPr>
                <w:rFonts w:ascii="Times New Roman" w:hAnsi="Times New Roman" w:cs="Times New Roman"/>
                <w:sz w:val="24"/>
                <w:szCs w:val="24"/>
              </w:rPr>
              <w:t>of December</w:t>
            </w:r>
            <w:r w:rsidRPr="00550113">
              <w:rPr>
                <w:rFonts w:ascii="Times New Roman" w:hAnsi="Times New Roman" w:cs="Times New Roman"/>
                <w:sz w:val="24"/>
                <w:szCs w:val="24"/>
              </w:rPr>
              <w:t xml:space="preserve"> 31, 2019</w:t>
            </w:r>
          </w:p>
        </w:tc>
        <w:tc>
          <w:tcPr>
            <w:tcW w:w="1183" w:type="dxa"/>
            <w:noWrap/>
            <w:hideMark/>
          </w:tcPr>
          <w:p w14:paraId="7D883EBC"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304,629</w:t>
            </w:r>
          </w:p>
        </w:tc>
        <w:tc>
          <w:tcPr>
            <w:tcW w:w="1183" w:type="dxa"/>
            <w:noWrap/>
            <w:hideMark/>
          </w:tcPr>
          <w:p w14:paraId="6EDBBA2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304,608</w:t>
            </w:r>
          </w:p>
        </w:tc>
        <w:tc>
          <w:tcPr>
            <w:tcW w:w="1183" w:type="dxa"/>
            <w:noWrap/>
            <w:hideMark/>
          </w:tcPr>
          <w:p w14:paraId="7E80F3F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304,444</w:t>
            </w:r>
          </w:p>
        </w:tc>
      </w:tr>
      <w:tr w:rsidR="00424970" w14:paraId="4F33C1C1" w14:textId="77777777" w:rsidTr="00753E23">
        <w:trPr>
          <w:trHeight w:val="290"/>
        </w:trPr>
        <w:tc>
          <w:tcPr>
            <w:tcW w:w="5801" w:type="dxa"/>
            <w:noWrap/>
            <w:hideMark/>
          </w:tcPr>
          <w:p w14:paraId="5247892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Treasury stock, at cos</w:t>
            </w:r>
          </w:p>
        </w:tc>
        <w:tc>
          <w:tcPr>
            <w:tcW w:w="1183" w:type="dxa"/>
            <w:noWrap/>
            <w:hideMark/>
          </w:tcPr>
          <w:p w14:paraId="1D65D0D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-736,490</w:t>
            </w:r>
          </w:p>
        </w:tc>
        <w:tc>
          <w:tcPr>
            <w:tcW w:w="1183" w:type="dxa"/>
            <w:noWrap/>
            <w:hideMark/>
          </w:tcPr>
          <w:p w14:paraId="6609DE56"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-736,490</w:t>
            </w:r>
          </w:p>
        </w:tc>
        <w:tc>
          <w:tcPr>
            <w:tcW w:w="1183" w:type="dxa"/>
            <w:noWrap/>
            <w:hideMark/>
          </w:tcPr>
          <w:p w14:paraId="23A36A5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-692,666</w:t>
            </w:r>
          </w:p>
        </w:tc>
      </w:tr>
      <w:tr w:rsidR="00424970" w14:paraId="400E9447" w14:textId="77777777" w:rsidTr="00753E23">
        <w:trPr>
          <w:trHeight w:val="290"/>
        </w:trPr>
        <w:tc>
          <w:tcPr>
            <w:tcW w:w="5801" w:type="dxa"/>
            <w:noWrap/>
            <w:hideMark/>
          </w:tcPr>
          <w:p w14:paraId="0F9CF8C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Additional paid-in capital</w:t>
            </w:r>
          </w:p>
        </w:tc>
        <w:tc>
          <w:tcPr>
            <w:tcW w:w="1183" w:type="dxa"/>
            <w:noWrap/>
            <w:hideMark/>
          </w:tcPr>
          <w:p w14:paraId="13FFF6A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3,593,311</w:t>
            </w:r>
          </w:p>
        </w:tc>
        <w:tc>
          <w:tcPr>
            <w:tcW w:w="1183" w:type="dxa"/>
            <w:noWrap/>
            <w:hideMark/>
          </w:tcPr>
          <w:p w14:paraId="5DA740A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3,590,176</w:t>
            </w:r>
          </w:p>
        </w:tc>
        <w:tc>
          <w:tcPr>
            <w:tcW w:w="1183" w:type="dxa"/>
            <w:noWrap/>
            <w:hideMark/>
          </w:tcPr>
          <w:p w14:paraId="7467755E"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3,603,310</w:t>
            </w:r>
          </w:p>
        </w:tc>
      </w:tr>
      <w:tr w:rsidR="00424970" w14:paraId="101402C6" w14:textId="77777777" w:rsidTr="00753E23">
        <w:trPr>
          <w:trHeight w:val="290"/>
        </w:trPr>
        <w:tc>
          <w:tcPr>
            <w:tcW w:w="5801" w:type="dxa"/>
            <w:noWrap/>
            <w:hideMark/>
          </w:tcPr>
          <w:p w14:paraId="0A5B4ED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Retained earnings</w:t>
            </w:r>
          </w:p>
        </w:tc>
        <w:tc>
          <w:tcPr>
            <w:tcW w:w="1183" w:type="dxa"/>
            <w:noWrap/>
            <w:hideMark/>
          </w:tcPr>
          <w:p w14:paraId="6BEB9EC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10,054,892</w:t>
            </w:r>
          </w:p>
        </w:tc>
        <w:tc>
          <w:tcPr>
            <w:tcW w:w="1183" w:type="dxa"/>
            <w:noWrap/>
            <w:hideMark/>
          </w:tcPr>
          <w:p w14:paraId="49367BD3"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10,077,917</w:t>
            </w:r>
          </w:p>
        </w:tc>
        <w:tc>
          <w:tcPr>
            <w:tcW w:w="1183" w:type="dxa"/>
            <w:noWrap/>
            <w:hideMark/>
          </w:tcPr>
          <w:p w14:paraId="4A39378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9,732,241</w:t>
            </w:r>
          </w:p>
        </w:tc>
      </w:tr>
      <w:tr w:rsidR="00424970" w14:paraId="2B4CE49B" w14:textId="77777777" w:rsidTr="00753E23">
        <w:trPr>
          <w:trHeight w:val="290"/>
        </w:trPr>
        <w:tc>
          <w:tcPr>
            <w:tcW w:w="5801" w:type="dxa"/>
            <w:noWrap/>
            <w:hideMark/>
          </w:tcPr>
          <w:p w14:paraId="6ABB1967"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lastRenderedPageBreak/>
              <w:t>Accumulated other comprehensive income (loss)</w:t>
            </w:r>
          </w:p>
        </w:tc>
        <w:tc>
          <w:tcPr>
            <w:tcW w:w="1183" w:type="dxa"/>
            <w:noWrap/>
            <w:hideMark/>
          </w:tcPr>
          <w:p w14:paraId="26CA7C74"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-1,723,231</w:t>
            </w:r>
          </w:p>
        </w:tc>
        <w:tc>
          <w:tcPr>
            <w:tcW w:w="1183" w:type="dxa"/>
            <w:noWrap/>
            <w:hideMark/>
          </w:tcPr>
          <w:p w14:paraId="41154788"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-1,110,614</w:t>
            </w:r>
          </w:p>
        </w:tc>
        <w:tc>
          <w:tcPr>
            <w:tcW w:w="1183" w:type="dxa"/>
            <w:noWrap/>
            <w:hideMark/>
          </w:tcPr>
          <w:p w14:paraId="6865FAA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-950,901</w:t>
            </w:r>
          </w:p>
        </w:tc>
      </w:tr>
      <w:tr w:rsidR="00424970" w14:paraId="30077C75" w14:textId="77777777" w:rsidTr="00753E23">
        <w:trPr>
          <w:trHeight w:val="290"/>
        </w:trPr>
        <w:tc>
          <w:tcPr>
            <w:tcW w:w="5801" w:type="dxa"/>
            <w:noWrap/>
            <w:hideMark/>
          </w:tcPr>
          <w:p w14:paraId="3FEADA49"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FMC-AG &amp; Co. KGaA shareholders’ equity</w:t>
            </w:r>
          </w:p>
        </w:tc>
        <w:tc>
          <w:tcPr>
            <w:tcW w:w="1183" w:type="dxa"/>
            <w:noWrap/>
            <w:hideMark/>
          </w:tcPr>
          <w:p w14:paraId="2FC50367"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11,493,111</w:t>
            </w:r>
          </w:p>
        </w:tc>
        <w:tc>
          <w:tcPr>
            <w:tcW w:w="1183" w:type="dxa"/>
            <w:noWrap/>
            <w:hideMark/>
          </w:tcPr>
          <w:p w14:paraId="34205AF0"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12,125,597</w:t>
            </w:r>
          </w:p>
        </w:tc>
        <w:tc>
          <w:tcPr>
            <w:tcW w:w="1183" w:type="dxa"/>
            <w:noWrap/>
            <w:hideMark/>
          </w:tcPr>
          <w:p w14:paraId="584D7ED4"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11,996,428</w:t>
            </w:r>
          </w:p>
        </w:tc>
      </w:tr>
      <w:tr w:rsidR="00424970" w14:paraId="7FF37B47" w14:textId="77777777" w:rsidTr="00753E23">
        <w:trPr>
          <w:trHeight w:val="290"/>
        </w:trPr>
        <w:tc>
          <w:tcPr>
            <w:tcW w:w="5801" w:type="dxa"/>
            <w:noWrap/>
            <w:hideMark/>
          </w:tcPr>
          <w:p w14:paraId="2A3E6E7F"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Noncontrolling interests</w:t>
            </w:r>
          </w:p>
        </w:tc>
        <w:tc>
          <w:tcPr>
            <w:tcW w:w="1183" w:type="dxa"/>
            <w:noWrap/>
            <w:hideMark/>
          </w:tcPr>
          <w:p w14:paraId="3821B762"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1,162,651</w:t>
            </w:r>
          </w:p>
        </w:tc>
        <w:tc>
          <w:tcPr>
            <w:tcW w:w="1183" w:type="dxa"/>
            <w:noWrap/>
            <w:hideMark/>
          </w:tcPr>
          <w:p w14:paraId="0084FBC1"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1,197,025</w:t>
            </w:r>
          </w:p>
        </w:tc>
        <w:tc>
          <w:tcPr>
            <w:tcW w:w="1183" w:type="dxa"/>
            <w:noWrap/>
            <w:hideMark/>
          </w:tcPr>
          <w:p w14:paraId="08BAC3BA"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1,273,508</w:t>
            </w:r>
          </w:p>
        </w:tc>
      </w:tr>
      <w:tr w:rsidR="00424970" w14:paraId="7ABB1993" w14:textId="77777777" w:rsidTr="00753E23">
        <w:trPr>
          <w:trHeight w:val="290"/>
        </w:trPr>
        <w:tc>
          <w:tcPr>
            <w:tcW w:w="5801" w:type="dxa"/>
            <w:noWrap/>
            <w:hideMark/>
          </w:tcPr>
          <w:p w14:paraId="3ACD4DCA" w14:textId="28FE0BEE"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equity</w:t>
            </w:r>
          </w:p>
        </w:tc>
        <w:tc>
          <w:tcPr>
            <w:tcW w:w="1183" w:type="dxa"/>
            <w:noWrap/>
            <w:hideMark/>
          </w:tcPr>
          <w:p w14:paraId="712E0B55"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12,655,762</w:t>
            </w:r>
          </w:p>
        </w:tc>
        <w:tc>
          <w:tcPr>
            <w:tcW w:w="1183" w:type="dxa"/>
            <w:noWrap/>
            <w:hideMark/>
          </w:tcPr>
          <w:p w14:paraId="0E75AAA0"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13,322,622</w:t>
            </w:r>
          </w:p>
        </w:tc>
        <w:tc>
          <w:tcPr>
            <w:tcW w:w="1183" w:type="dxa"/>
            <w:noWrap/>
            <w:hideMark/>
          </w:tcPr>
          <w:p w14:paraId="531F8195"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13,269,936</w:t>
            </w:r>
          </w:p>
        </w:tc>
      </w:tr>
      <w:tr w:rsidR="00424970" w14:paraId="5C9AED72" w14:textId="77777777" w:rsidTr="00753E23">
        <w:trPr>
          <w:trHeight w:val="300"/>
        </w:trPr>
        <w:tc>
          <w:tcPr>
            <w:tcW w:w="5801" w:type="dxa"/>
            <w:noWrap/>
            <w:hideMark/>
          </w:tcPr>
          <w:p w14:paraId="76D1248B" w14:textId="77777777" w:rsidR="007358CE" w:rsidRPr="00550113" w:rsidRDefault="00A67C1D" w:rsidP="00550113">
            <w:pPr>
              <w:spacing w:line="480" w:lineRule="auto"/>
              <w:rPr>
                <w:rFonts w:ascii="Times New Roman" w:hAnsi="Times New Roman" w:cs="Times New Roman"/>
                <w:sz w:val="24"/>
                <w:szCs w:val="24"/>
              </w:rPr>
            </w:pPr>
            <w:r w:rsidRPr="00550113">
              <w:rPr>
                <w:rFonts w:ascii="Times New Roman" w:hAnsi="Times New Roman" w:cs="Times New Roman"/>
                <w:sz w:val="24"/>
                <w:szCs w:val="24"/>
              </w:rPr>
              <w:t>Total liabilities and equity</w:t>
            </w:r>
          </w:p>
        </w:tc>
        <w:tc>
          <w:tcPr>
            <w:tcW w:w="1183" w:type="dxa"/>
            <w:noWrap/>
            <w:hideMark/>
          </w:tcPr>
          <w:p w14:paraId="5073EA59"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33,049,135</w:t>
            </w:r>
          </w:p>
        </w:tc>
        <w:tc>
          <w:tcPr>
            <w:tcW w:w="1183" w:type="dxa"/>
            <w:noWrap/>
            <w:hideMark/>
          </w:tcPr>
          <w:p w14:paraId="09F229EF"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34,189,853</w:t>
            </w:r>
          </w:p>
        </w:tc>
        <w:tc>
          <w:tcPr>
            <w:tcW w:w="1183" w:type="dxa"/>
            <w:noWrap/>
            <w:hideMark/>
          </w:tcPr>
          <w:p w14:paraId="2A3F61E2" w14:textId="77777777" w:rsidR="007358CE" w:rsidRPr="00550113" w:rsidRDefault="00A67C1D" w:rsidP="00550113">
            <w:pPr>
              <w:spacing w:line="480" w:lineRule="auto"/>
              <w:rPr>
                <w:rFonts w:ascii="Times New Roman" w:hAnsi="Times New Roman" w:cs="Times New Roman"/>
                <w:b/>
                <w:bCs/>
                <w:sz w:val="24"/>
                <w:szCs w:val="24"/>
              </w:rPr>
            </w:pPr>
            <w:r w:rsidRPr="00550113">
              <w:rPr>
                <w:rFonts w:ascii="Times New Roman" w:hAnsi="Times New Roman" w:cs="Times New Roman"/>
                <w:b/>
                <w:bCs/>
                <w:sz w:val="24"/>
                <w:szCs w:val="24"/>
              </w:rPr>
              <w:t>34,072,427</w:t>
            </w:r>
          </w:p>
        </w:tc>
      </w:tr>
    </w:tbl>
    <w:p w14:paraId="3CDF9017" w14:textId="33FFF128" w:rsidR="00C865A0" w:rsidRPr="00550113" w:rsidRDefault="00C865A0" w:rsidP="00550113">
      <w:pPr>
        <w:spacing w:after="0" w:line="480" w:lineRule="auto"/>
        <w:rPr>
          <w:rFonts w:ascii="Times New Roman" w:hAnsi="Times New Roman" w:cs="Times New Roman"/>
          <w:sz w:val="24"/>
          <w:szCs w:val="24"/>
        </w:rPr>
      </w:pPr>
    </w:p>
    <w:p w14:paraId="7CD34DD7" w14:textId="2EC5F0AE" w:rsidR="007358CE"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Effect of factors to justify the changes</w:t>
      </w:r>
    </w:p>
    <w:p w14:paraId="29DDBA33" w14:textId="1D70C5FD" w:rsidR="004760EE"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balance sheets </w:t>
      </w:r>
      <w:r w:rsidR="004D1125" w:rsidRPr="00550113">
        <w:rPr>
          <w:rFonts w:ascii="Times New Roman" w:hAnsi="Times New Roman" w:cs="Times New Roman"/>
          <w:sz w:val="24"/>
          <w:szCs w:val="24"/>
        </w:rPr>
        <w:t>illustrate</w:t>
      </w:r>
      <w:r w:rsidRPr="00550113">
        <w:rPr>
          <w:rFonts w:ascii="Times New Roman" w:hAnsi="Times New Roman" w:cs="Times New Roman"/>
          <w:sz w:val="24"/>
          <w:szCs w:val="24"/>
        </w:rPr>
        <w:t xml:space="preserve"> going concern for Fresenius is certain since the assets have slightly decreased over time. In march 2020 the assets were 34072427 while in </w:t>
      </w:r>
      <w:r w:rsidR="002D1A65" w:rsidRPr="00550113">
        <w:rPr>
          <w:rFonts w:ascii="Times New Roman" w:hAnsi="Times New Roman" w:cs="Times New Roman"/>
          <w:sz w:val="24"/>
          <w:szCs w:val="24"/>
        </w:rPr>
        <w:t>September</w:t>
      </w:r>
      <w:r w:rsidRPr="00550113">
        <w:rPr>
          <w:rFonts w:ascii="Times New Roman" w:hAnsi="Times New Roman" w:cs="Times New Roman"/>
          <w:sz w:val="24"/>
          <w:szCs w:val="24"/>
        </w:rPr>
        <w:t xml:space="preserve"> there were 33049135. The retained </w:t>
      </w:r>
      <w:r w:rsidR="00753E23" w:rsidRPr="00550113">
        <w:rPr>
          <w:rFonts w:ascii="Times New Roman" w:hAnsi="Times New Roman" w:cs="Times New Roman"/>
          <w:sz w:val="24"/>
          <w:szCs w:val="24"/>
        </w:rPr>
        <w:t>earnings</w:t>
      </w:r>
      <w:r w:rsidRPr="00550113">
        <w:rPr>
          <w:rFonts w:ascii="Times New Roman" w:hAnsi="Times New Roman" w:cs="Times New Roman"/>
          <w:sz w:val="24"/>
          <w:szCs w:val="24"/>
        </w:rPr>
        <w:t xml:space="preserve"> increased from 9732241 in March to 10054892 a clear indication that the firm was doing well. </w:t>
      </w:r>
    </w:p>
    <w:p w14:paraId="6D70CF43" w14:textId="77777777" w:rsidR="002D1A65"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Revenue growth rate </w:t>
      </w:r>
    </w:p>
    <w:p w14:paraId="242965CC" w14:textId="43E5A8D8" w:rsidR="007358CE"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firm has not incurred losses that could pose a puzzle on its future. Its revenue has grown at a rate of 19.8% a clear indication that it was </w:t>
      </w:r>
      <w:r w:rsidR="004D1125" w:rsidRPr="00550113">
        <w:rPr>
          <w:rFonts w:ascii="Times New Roman" w:hAnsi="Times New Roman" w:cs="Times New Roman"/>
          <w:sz w:val="24"/>
          <w:szCs w:val="24"/>
        </w:rPr>
        <w:t>growing well</w:t>
      </w:r>
      <w:r w:rsidR="00340F7C" w:rsidRPr="00550113">
        <w:rPr>
          <w:rFonts w:ascii="Times New Roman" w:hAnsi="Times New Roman" w:cs="Times New Roman"/>
          <w:sz w:val="24"/>
          <w:szCs w:val="24"/>
        </w:rPr>
        <w:t xml:space="preserve"> (</w:t>
      </w:r>
      <w:r w:rsidR="00340F7C" w:rsidRPr="00550113">
        <w:rPr>
          <w:rFonts w:ascii="Times New Roman" w:eastAsia="Times New Roman" w:hAnsi="Times New Roman" w:cs="Times New Roman"/>
          <w:sz w:val="24"/>
          <w:szCs w:val="24"/>
        </w:rPr>
        <w:t>Schädler 2018).</w:t>
      </w:r>
    </w:p>
    <w:p w14:paraId="3B64BBBE" w14:textId="2684BF21" w:rsidR="004D1125"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Capacity</w:t>
      </w:r>
    </w:p>
    <w:p w14:paraId="4DA51D72" w14:textId="1AF55FF6" w:rsidR="004D1125"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firm's capacity to serve the patients capacity is optimally maintained. </w:t>
      </w:r>
    </w:p>
    <w:p w14:paraId="2E5F2383" w14:textId="06FD1037" w:rsidR="004D1125"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 Rate of turnover </w:t>
      </w:r>
    </w:p>
    <w:p w14:paraId="3563BA0A" w14:textId="2FE3072E" w:rsidR="004D1125"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firm has not experienced a significant staff turnover at very low numbers. </w:t>
      </w:r>
      <w:r w:rsidR="00D10B1C" w:rsidRPr="00550113">
        <w:rPr>
          <w:rFonts w:ascii="Times New Roman" w:hAnsi="Times New Roman" w:cs="Times New Roman"/>
          <w:sz w:val="24"/>
          <w:szCs w:val="24"/>
        </w:rPr>
        <w:t>This is achieved partly due to the excellent staff packages and other amenities the firm offers to the staff.</w:t>
      </w:r>
    </w:p>
    <w:p w14:paraId="713FE0A9" w14:textId="77777777" w:rsidR="0041079C" w:rsidRPr="00550113" w:rsidRDefault="00A67C1D" w:rsidP="00550113">
      <w:pPr>
        <w:spacing w:after="0" w:line="480" w:lineRule="auto"/>
        <w:rPr>
          <w:rFonts w:ascii="Times New Roman" w:hAnsi="Times New Roman" w:cs="Times New Roman"/>
          <w:sz w:val="24"/>
          <w:szCs w:val="24"/>
        </w:rPr>
      </w:pPr>
      <w:r w:rsidRPr="00550113">
        <w:rPr>
          <w:rFonts w:ascii="Times New Roman" w:hAnsi="Times New Roman" w:cs="Times New Roman"/>
          <w:sz w:val="24"/>
          <w:szCs w:val="24"/>
        </w:rPr>
        <w:t xml:space="preserve">Conclusion </w:t>
      </w:r>
    </w:p>
    <w:p w14:paraId="2AD81439" w14:textId="7B68743A" w:rsidR="00A14779" w:rsidRPr="00550113" w:rsidRDefault="00A67C1D" w:rsidP="00550113">
      <w:pPr>
        <w:spacing w:after="0" w:line="480" w:lineRule="auto"/>
        <w:ind w:firstLine="720"/>
        <w:rPr>
          <w:rFonts w:ascii="Times New Roman" w:hAnsi="Times New Roman" w:cs="Times New Roman"/>
          <w:sz w:val="24"/>
          <w:szCs w:val="24"/>
        </w:rPr>
      </w:pPr>
      <w:r w:rsidRPr="00550113">
        <w:rPr>
          <w:rFonts w:ascii="Times New Roman" w:hAnsi="Times New Roman" w:cs="Times New Roman"/>
          <w:sz w:val="24"/>
          <w:szCs w:val="24"/>
        </w:rPr>
        <w:t xml:space="preserve">The going concern for the Fresenius company is certain and the company would continue to offer the services to the patients shortly. </w:t>
      </w:r>
      <w:r w:rsidR="0041079C" w:rsidRPr="00550113">
        <w:rPr>
          <w:rFonts w:ascii="Times New Roman" w:hAnsi="Times New Roman" w:cs="Times New Roman"/>
          <w:sz w:val="24"/>
          <w:szCs w:val="24"/>
        </w:rPr>
        <w:t xml:space="preserve">The company's income revenue growth has continued </w:t>
      </w:r>
      <w:r w:rsidR="0041079C" w:rsidRPr="00550113">
        <w:rPr>
          <w:rFonts w:ascii="Times New Roman" w:hAnsi="Times New Roman" w:cs="Times New Roman"/>
          <w:sz w:val="24"/>
          <w:szCs w:val="24"/>
        </w:rPr>
        <w:lastRenderedPageBreak/>
        <w:t xml:space="preserve">to increase hence eliminating any fears of the company accumulating losses.  The company's strategic goal is to offer improved healthy living in the future. This can be attained when the firm financial books are positive. </w:t>
      </w:r>
    </w:p>
    <w:p w14:paraId="3486FBE7" w14:textId="1163D2CA" w:rsidR="00A14779" w:rsidRDefault="00A14779" w:rsidP="00550113">
      <w:pPr>
        <w:spacing w:after="0" w:line="480" w:lineRule="auto"/>
        <w:ind w:firstLine="720"/>
        <w:rPr>
          <w:rFonts w:ascii="Times New Roman" w:hAnsi="Times New Roman" w:cs="Times New Roman"/>
          <w:sz w:val="24"/>
          <w:szCs w:val="24"/>
        </w:rPr>
      </w:pPr>
    </w:p>
    <w:p w14:paraId="3D9A36F2" w14:textId="603AB828" w:rsidR="005F1246" w:rsidRDefault="005F1246" w:rsidP="00550113">
      <w:pPr>
        <w:spacing w:after="0" w:line="480" w:lineRule="auto"/>
        <w:ind w:firstLine="720"/>
        <w:rPr>
          <w:rFonts w:ascii="Times New Roman" w:hAnsi="Times New Roman" w:cs="Times New Roman"/>
          <w:sz w:val="24"/>
          <w:szCs w:val="24"/>
        </w:rPr>
      </w:pPr>
    </w:p>
    <w:p w14:paraId="47B7B2FE" w14:textId="6D5A99A8" w:rsidR="005F1246" w:rsidRDefault="005F1246" w:rsidP="00550113">
      <w:pPr>
        <w:spacing w:after="0" w:line="480" w:lineRule="auto"/>
        <w:ind w:firstLine="720"/>
        <w:rPr>
          <w:rFonts w:ascii="Times New Roman" w:hAnsi="Times New Roman" w:cs="Times New Roman"/>
          <w:sz w:val="24"/>
          <w:szCs w:val="24"/>
        </w:rPr>
      </w:pPr>
    </w:p>
    <w:p w14:paraId="47C5A4A3" w14:textId="0449DC8E" w:rsidR="005F1246" w:rsidRDefault="005F1246" w:rsidP="00550113">
      <w:pPr>
        <w:spacing w:after="0" w:line="480" w:lineRule="auto"/>
        <w:ind w:firstLine="720"/>
        <w:rPr>
          <w:rFonts w:ascii="Times New Roman" w:hAnsi="Times New Roman" w:cs="Times New Roman"/>
          <w:sz w:val="24"/>
          <w:szCs w:val="24"/>
        </w:rPr>
      </w:pPr>
    </w:p>
    <w:p w14:paraId="209EF72C" w14:textId="0D7D26AF" w:rsidR="005F1246" w:rsidRDefault="005F1246" w:rsidP="00550113">
      <w:pPr>
        <w:spacing w:after="0" w:line="480" w:lineRule="auto"/>
        <w:ind w:firstLine="720"/>
        <w:rPr>
          <w:rFonts w:ascii="Times New Roman" w:hAnsi="Times New Roman" w:cs="Times New Roman"/>
          <w:sz w:val="24"/>
          <w:szCs w:val="24"/>
        </w:rPr>
      </w:pPr>
    </w:p>
    <w:p w14:paraId="1541B6EF" w14:textId="15139A83" w:rsidR="005F1246" w:rsidRDefault="005F1246" w:rsidP="00550113">
      <w:pPr>
        <w:spacing w:after="0" w:line="480" w:lineRule="auto"/>
        <w:ind w:firstLine="720"/>
        <w:rPr>
          <w:rFonts w:ascii="Times New Roman" w:hAnsi="Times New Roman" w:cs="Times New Roman"/>
          <w:sz w:val="24"/>
          <w:szCs w:val="24"/>
        </w:rPr>
      </w:pPr>
    </w:p>
    <w:p w14:paraId="2C1B4319" w14:textId="2CE9CFB4" w:rsidR="005F1246" w:rsidRDefault="005F1246" w:rsidP="00550113">
      <w:pPr>
        <w:spacing w:after="0" w:line="480" w:lineRule="auto"/>
        <w:ind w:firstLine="720"/>
        <w:rPr>
          <w:rFonts w:ascii="Times New Roman" w:hAnsi="Times New Roman" w:cs="Times New Roman"/>
          <w:sz w:val="24"/>
          <w:szCs w:val="24"/>
        </w:rPr>
      </w:pPr>
    </w:p>
    <w:p w14:paraId="20D1FA05" w14:textId="32714C30" w:rsidR="005F1246" w:rsidRDefault="005F1246" w:rsidP="00550113">
      <w:pPr>
        <w:spacing w:after="0" w:line="480" w:lineRule="auto"/>
        <w:ind w:firstLine="720"/>
        <w:rPr>
          <w:rFonts w:ascii="Times New Roman" w:hAnsi="Times New Roman" w:cs="Times New Roman"/>
          <w:sz w:val="24"/>
          <w:szCs w:val="24"/>
        </w:rPr>
      </w:pPr>
    </w:p>
    <w:p w14:paraId="3F849405" w14:textId="5C2F61B3" w:rsidR="005F1246" w:rsidRDefault="005F1246" w:rsidP="00550113">
      <w:pPr>
        <w:spacing w:after="0" w:line="480" w:lineRule="auto"/>
        <w:ind w:firstLine="720"/>
        <w:rPr>
          <w:rFonts w:ascii="Times New Roman" w:hAnsi="Times New Roman" w:cs="Times New Roman"/>
          <w:sz w:val="24"/>
          <w:szCs w:val="24"/>
        </w:rPr>
      </w:pPr>
    </w:p>
    <w:p w14:paraId="20C400B9" w14:textId="1A5C73E1" w:rsidR="005F1246" w:rsidRDefault="005F1246" w:rsidP="00550113">
      <w:pPr>
        <w:spacing w:after="0" w:line="480" w:lineRule="auto"/>
        <w:ind w:firstLine="720"/>
        <w:rPr>
          <w:rFonts w:ascii="Times New Roman" w:hAnsi="Times New Roman" w:cs="Times New Roman"/>
          <w:sz w:val="24"/>
          <w:szCs w:val="24"/>
        </w:rPr>
      </w:pPr>
    </w:p>
    <w:p w14:paraId="67D63AD4" w14:textId="209BCAC8" w:rsidR="005F1246" w:rsidRDefault="005F1246" w:rsidP="00550113">
      <w:pPr>
        <w:spacing w:after="0" w:line="480" w:lineRule="auto"/>
        <w:ind w:firstLine="720"/>
        <w:rPr>
          <w:rFonts w:ascii="Times New Roman" w:hAnsi="Times New Roman" w:cs="Times New Roman"/>
          <w:sz w:val="24"/>
          <w:szCs w:val="24"/>
        </w:rPr>
      </w:pPr>
    </w:p>
    <w:p w14:paraId="13BF267D" w14:textId="273435FF" w:rsidR="005F1246" w:rsidRDefault="005F1246" w:rsidP="00550113">
      <w:pPr>
        <w:spacing w:after="0" w:line="480" w:lineRule="auto"/>
        <w:ind w:firstLine="720"/>
        <w:rPr>
          <w:rFonts w:ascii="Times New Roman" w:hAnsi="Times New Roman" w:cs="Times New Roman"/>
          <w:sz w:val="24"/>
          <w:szCs w:val="24"/>
        </w:rPr>
      </w:pPr>
    </w:p>
    <w:p w14:paraId="19082E0A" w14:textId="69DAE429" w:rsidR="005F1246" w:rsidRDefault="005F1246" w:rsidP="00550113">
      <w:pPr>
        <w:spacing w:after="0" w:line="480" w:lineRule="auto"/>
        <w:ind w:firstLine="720"/>
        <w:rPr>
          <w:rFonts w:ascii="Times New Roman" w:hAnsi="Times New Roman" w:cs="Times New Roman"/>
          <w:sz w:val="24"/>
          <w:szCs w:val="24"/>
        </w:rPr>
      </w:pPr>
    </w:p>
    <w:p w14:paraId="0D6FF162" w14:textId="1A8BF314" w:rsidR="005F1246" w:rsidRDefault="005F1246" w:rsidP="00550113">
      <w:pPr>
        <w:spacing w:after="0" w:line="480" w:lineRule="auto"/>
        <w:ind w:firstLine="720"/>
        <w:rPr>
          <w:rFonts w:ascii="Times New Roman" w:hAnsi="Times New Roman" w:cs="Times New Roman"/>
          <w:sz w:val="24"/>
          <w:szCs w:val="24"/>
        </w:rPr>
      </w:pPr>
    </w:p>
    <w:p w14:paraId="05F8FBC5" w14:textId="11AB7C20" w:rsidR="005F1246" w:rsidRDefault="005F1246" w:rsidP="00550113">
      <w:pPr>
        <w:spacing w:after="0" w:line="480" w:lineRule="auto"/>
        <w:ind w:firstLine="720"/>
        <w:rPr>
          <w:rFonts w:ascii="Times New Roman" w:hAnsi="Times New Roman" w:cs="Times New Roman"/>
          <w:sz w:val="24"/>
          <w:szCs w:val="24"/>
        </w:rPr>
      </w:pPr>
    </w:p>
    <w:p w14:paraId="7AC59776" w14:textId="095080C8" w:rsidR="00920B5C" w:rsidRDefault="00920B5C" w:rsidP="00550113">
      <w:pPr>
        <w:spacing w:after="0" w:line="480" w:lineRule="auto"/>
        <w:ind w:firstLine="720"/>
        <w:rPr>
          <w:rFonts w:ascii="Times New Roman" w:hAnsi="Times New Roman" w:cs="Times New Roman"/>
          <w:sz w:val="24"/>
          <w:szCs w:val="24"/>
        </w:rPr>
      </w:pPr>
    </w:p>
    <w:p w14:paraId="70693652" w14:textId="77777777" w:rsidR="00920B5C" w:rsidRDefault="00920B5C" w:rsidP="00550113">
      <w:pPr>
        <w:spacing w:after="0" w:line="480" w:lineRule="auto"/>
        <w:ind w:firstLine="720"/>
        <w:rPr>
          <w:rFonts w:ascii="Times New Roman" w:hAnsi="Times New Roman" w:cs="Times New Roman"/>
          <w:sz w:val="24"/>
          <w:szCs w:val="24"/>
        </w:rPr>
      </w:pPr>
    </w:p>
    <w:p w14:paraId="02E1141B" w14:textId="0FCD01CA" w:rsidR="005F1246" w:rsidRDefault="005F1246" w:rsidP="00550113">
      <w:pPr>
        <w:spacing w:after="0" w:line="480" w:lineRule="auto"/>
        <w:ind w:firstLine="720"/>
        <w:rPr>
          <w:rFonts w:ascii="Times New Roman" w:hAnsi="Times New Roman" w:cs="Times New Roman"/>
          <w:sz w:val="24"/>
          <w:szCs w:val="24"/>
        </w:rPr>
      </w:pPr>
    </w:p>
    <w:p w14:paraId="46CA5BC8" w14:textId="77777777" w:rsidR="005F1246" w:rsidRPr="00550113" w:rsidRDefault="005F1246" w:rsidP="00550113">
      <w:pPr>
        <w:spacing w:after="0" w:line="480" w:lineRule="auto"/>
        <w:ind w:firstLine="720"/>
        <w:rPr>
          <w:rFonts w:ascii="Times New Roman" w:hAnsi="Times New Roman" w:cs="Times New Roman"/>
          <w:sz w:val="24"/>
          <w:szCs w:val="24"/>
        </w:rPr>
      </w:pPr>
    </w:p>
    <w:p w14:paraId="32000AC7" w14:textId="46AA48F6" w:rsidR="00A14779" w:rsidRPr="00550113" w:rsidRDefault="00A14779" w:rsidP="00550113">
      <w:pPr>
        <w:spacing w:after="0" w:line="480" w:lineRule="auto"/>
        <w:rPr>
          <w:rFonts w:ascii="Times New Roman" w:hAnsi="Times New Roman" w:cs="Times New Roman"/>
          <w:sz w:val="24"/>
          <w:szCs w:val="24"/>
        </w:rPr>
      </w:pPr>
    </w:p>
    <w:p w14:paraId="0DBDE8F3" w14:textId="3AA61AED" w:rsidR="00A14779" w:rsidRPr="00550113" w:rsidRDefault="00A67C1D" w:rsidP="005F1246">
      <w:pPr>
        <w:spacing w:after="0" w:line="480" w:lineRule="auto"/>
        <w:jc w:val="center"/>
        <w:rPr>
          <w:rFonts w:ascii="Times New Roman" w:hAnsi="Times New Roman" w:cs="Times New Roman"/>
          <w:sz w:val="24"/>
          <w:szCs w:val="24"/>
        </w:rPr>
      </w:pPr>
      <w:r w:rsidRPr="00550113">
        <w:rPr>
          <w:rFonts w:ascii="Times New Roman" w:hAnsi="Times New Roman" w:cs="Times New Roman"/>
          <w:sz w:val="24"/>
          <w:szCs w:val="24"/>
        </w:rPr>
        <w:lastRenderedPageBreak/>
        <w:t>References</w:t>
      </w:r>
    </w:p>
    <w:p w14:paraId="1271316A" w14:textId="77777777" w:rsidR="00920B5C" w:rsidRPr="00550113" w:rsidRDefault="00A67C1D" w:rsidP="00920B5C">
      <w:pPr>
        <w:spacing w:after="0" w:line="480" w:lineRule="auto"/>
        <w:ind w:left="720" w:hanging="720"/>
        <w:rPr>
          <w:rFonts w:ascii="Times New Roman" w:eastAsia="Times New Roman" w:hAnsi="Times New Roman" w:cs="Times New Roman"/>
          <w:sz w:val="24"/>
          <w:szCs w:val="24"/>
        </w:rPr>
      </w:pPr>
      <w:r w:rsidRPr="007D165C">
        <w:rPr>
          <w:rFonts w:ascii="Times New Roman" w:eastAsia="Times New Roman" w:hAnsi="Times New Roman" w:cs="Times New Roman"/>
          <w:sz w:val="24"/>
          <w:szCs w:val="24"/>
        </w:rPr>
        <w:t>Kunze, M., &amp; Heger, D. (2019). Fresenius Medical Care launches 4008A dialysis machine tailored to needs in emerging markets.</w:t>
      </w:r>
    </w:p>
    <w:p w14:paraId="1B81677B" w14:textId="77777777" w:rsidR="00920B5C" w:rsidRPr="00333F3B" w:rsidRDefault="00A67C1D" w:rsidP="00920B5C">
      <w:pPr>
        <w:spacing w:after="0" w:line="480" w:lineRule="auto"/>
        <w:ind w:left="720" w:hanging="720"/>
        <w:rPr>
          <w:rFonts w:ascii="Times New Roman" w:eastAsia="Times New Roman" w:hAnsi="Times New Roman" w:cs="Times New Roman"/>
          <w:sz w:val="24"/>
          <w:szCs w:val="24"/>
        </w:rPr>
      </w:pPr>
      <w:r w:rsidRPr="00333F3B">
        <w:rPr>
          <w:rFonts w:ascii="Times New Roman" w:eastAsia="Times New Roman" w:hAnsi="Times New Roman" w:cs="Times New Roman"/>
          <w:sz w:val="24"/>
          <w:szCs w:val="24"/>
        </w:rPr>
        <w:t xml:space="preserve">Nikpay, S., Freedman, S., Levy, H., &amp; Buchmueller, T. (2017). Effect of the Affordable Care Act Medicaid expansion on emergency department visits: evidence from state-level emergency department databases. </w:t>
      </w:r>
      <w:r w:rsidRPr="00333F3B">
        <w:rPr>
          <w:rFonts w:ascii="Times New Roman" w:eastAsia="Times New Roman" w:hAnsi="Times New Roman" w:cs="Times New Roman"/>
          <w:i/>
          <w:iCs/>
          <w:sz w:val="24"/>
          <w:szCs w:val="24"/>
        </w:rPr>
        <w:t>Annals of emergency medicine</w:t>
      </w:r>
      <w:r w:rsidRPr="00333F3B">
        <w:rPr>
          <w:rFonts w:ascii="Times New Roman" w:eastAsia="Times New Roman" w:hAnsi="Times New Roman" w:cs="Times New Roman"/>
          <w:sz w:val="24"/>
          <w:szCs w:val="24"/>
        </w:rPr>
        <w:t xml:space="preserve">, </w:t>
      </w:r>
      <w:r w:rsidRPr="00333F3B">
        <w:rPr>
          <w:rFonts w:ascii="Times New Roman" w:eastAsia="Times New Roman" w:hAnsi="Times New Roman" w:cs="Times New Roman"/>
          <w:i/>
          <w:iCs/>
          <w:sz w:val="24"/>
          <w:szCs w:val="24"/>
        </w:rPr>
        <w:t>70</w:t>
      </w:r>
      <w:r w:rsidRPr="00333F3B">
        <w:rPr>
          <w:rFonts w:ascii="Times New Roman" w:eastAsia="Times New Roman" w:hAnsi="Times New Roman" w:cs="Times New Roman"/>
          <w:sz w:val="24"/>
          <w:szCs w:val="24"/>
        </w:rPr>
        <w:t>(2), 215-225.</w:t>
      </w:r>
    </w:p>
    <w:p w14:paraId="4E6BA775" w14:textId="77777777" w:rsidR="00920B5C" w:rsidRPr="00550113" w:rsidRDefault="00A67C1D" w:rsidP="00920B5C">
      <w:pPr>
        <w:spacing w:after="0" w:line="480" w:lineRule="auto"/>
        <w:ind w:left="720" w:hanging="720"/>
        <w:rPr>
          <w:rFonts w:ascii="Times New Roman" w:hAnsi="Times New Roman" w:cs="Times New Roman"/>
          <w:sz w:val="24"/>
          <w:szCs w:val="24"/>
        </w:rPr>
      </w:pPr>
      <w:r w:rsidRPr="00550113">
        <w:rPr>
          <w:rFonts w:ascii="Times New Roman" w:hAnsi="Times New Roman" w:cs="Times New Roman"/>
          <w:sz w:val="24"/>
          <w:szCs w:val="24"/>
        </w:rPr>
        <w:t xml:space="preserve">Quarter 1. retrieved from </w:t>
      </w:r>
      <w:hyperlink r:id="rId10" w:history="1">
        <w:r w:rsidRPr="00550113">
          <w:rPr>
            <w:rStyle w:val="Hyperlink"/>
            <w:rFonts w:ascii="Times New Roman" w:hAnsi="Times New Roman" w:cs="Times New Roman"/>
            <w:sz w:val="24"/>
            <w:szCs w:val="24"/>
          </w:rPr>
          <w:t>https://www.freseniusmedicalcare.com/fileadmin/data/com/pdf/investors/News___Publications/Financial_Report/2020/FME_Deutsche_Boerse_Q1_2020_EN.pdf</w:t>
        </w:r>
      </w:hyperlink>
    </w:p>
    <w:p w14:paraId="1304222D" w14:textId="77777777" w:rsidR="00920B5C" w:rsidRPr="00550113" w:rsidRDefault="00A67C1D" w:rsidP="00920B5C">
      <w:pPr>
        <w:spacing w:after="0" w:line="480" w:lineRule="auto"/>
        <w:ind w:left="720" w:hanging="720"/>
        <w:rPr>
          <w:rFonts w:ascii="Times New Roman" w:hAnsi="Times New Roman" w:cs="Times New Roman"/>
          <w:sz w:val="24"/>
          <w:szCs w:val="24"/>
        </w:rPr>
      </w:pPr>
      <w:r w:rsidRPr="00550113">
        <w:rPr>
          <w:rFonts w:ascii="Times New Roman" w:hAnsi="Times New Roman" w:cs="Times New Roman"/>
          <w:sz w:val="24"/>
          <w:szCs w:val="24"/>
        </w:rPr>
        <w:t xml:space="preserve">Quarter 2. retrieved from </w:t>
      </w:r>
      <w:hyperlink r:id="rId11" w:history="1">
        <w:r w:rsidRPr="00550113">
          <w:rPr>
            <w:rStyle w:val="Hyperlink"/>
            <w:rFonts w:ascii="Times New Roman" w:hAnsi="Times New Roman" w:cs="Times New Roman"/>
            <w:sz w:val="24"/>
            <w:szCs w:val="24"/>
          </w:rPr>
          <w:t>https://www.freseniusmedicalcare.com/fileadmin/data/com/pdf/investors/News___Publications/Financial_Report/2020/Q2_2020_6K.PDF</w:t>
        </w:r>
      </w:hyperlink>
    </w:p>
    <w:p w14:paraId="209FD6B1" w14:textId="77777777" w:rsidR="00920B5C" w:rsidRDefault="00A67C1D" w:rsidP="00920B5C">
      <w:pPr>
        <w:spacing w:after="0" w:line="480" w:lineRule="auto"/>
        <w:ind w:left="720" w:hanging="720"/>
        <w:rPr>
          <w:rFonts w:ascii="Times New Roman" w:hAnsi="Times New Roman" w:cs="Times New Roman"/>
          <w:sz w:val="24"/>
          <w:szCs w:val="24"/>
        </w:rPr>
      </w:pPr>
      <w:r w:rsidRPr="00550113">
        <w:rPr>
          <w:rFonts w:ascii="Times New Roman" w:hAnsi="Times New Roman" w:cs="Times New Roman"/>
          <w:sz w:val="24"/>
          <w:szCs w:val="24"/>
        </w:rPr>
        <w:t xml:space="preserve">Quarter 3. retrieved from </w:t>
      </w:r>
      <w:hyperlink r:id="rId12" w:history="1">
        <w:r w:rsidRPr="00550113">
          <w:rPr>
            <w:rStyle w:val="Hyperlink"/>
            <w:rFonts w:ascii="Times New Roman" w:hAnsi="Times New Roman" w:cs="Times New Roman"/>
            <w:sz w:val="24"/>
            <w:szCs w:val="24"/>
          </w:rPr>
          <w:t>https://www.freseniusmedicalcare.com/fileadmin/data/com/pdf/investors/News___Publications/Financial_Report/2020/Q3_2020_6K.pdf</w:t>
        </w:r>
      </w:hyperlink>
    </w:p>
    <w:p w14:paraId="2EFBFC93" w14:textId="77777777" w:rsidR="00920B5C" w:rsidRPr="00550113" w:rsidRDefault="00A67C1D" w:rsidP="00920B5C">
      <w:pPr>
        <w:spacing w:after="0" w:line="480" w:lineRule="auto"/>
        <w:ind w:left="720" w:hanging="720"/>
        <w:rPr>
          <w:rFonts w:ascii="Times New Roman" w:hAnsi="Times New Roman" w:cs="Times New Roman"/>
          <w:sz w:val="24"/>
          <w:szCs w:val="24"/>
        </w:rPr>
      </w:pPr>
      <w:r w:rsidRPr="007D165C">
        <w:rPr>
          <w:rFonts w:ascii="Times New Roman" w:eastAsia="Times New Roman" w:hAnsi="Times New Roman" w:cs="Times New Roman"/>
          <w:sz w:val="24"/>
          <w:szCs w:val="24"/>
        </w:rPr>
        <w:t>Quarterly financial reports</w:t>
      </w:r>
      <w:r w:rsidRPr="00550113">
        <w:rPr>
          <w:rFonts w:ascii="Times New Roman" w:eastAsia="Times New Roman" w:hAnsi="Times New Roman" w:cs="Times New Roman"/>
          <w:sz w:val="24"/>
          <w:szCs w:val="24"/>
        </w:rPr>
        <w:t>.</w:t>
      </w:r>
      <w:r w:rsidRPr="00550113">
        <w:rPr>
          <w:rFonts w:ascii="Times New Roman" w:eastAsia="Times New Roman" w:hAnsi="Times New Roman" w:cs="Times New Roman"/>
          <w:b/>
          <w:bCs/>
          <w:sz w:val="24"/>
          <w:szCs w:val="24"/>
        </w:rPr>
        <w:t xml:space="preserve"> </w:t>
      </w:r>
      <w:r w:rsidRPr="00550113">
        <w:rPr>
          <w:rFonts w:ascii="Times New Roman" w:hAnsi="Times New Roman" w:cs="Times New Roman"/>
          <w:sz w:val="24"/>
          <w:szCs w:val="24"/>
        </w:rPr>
        <w:t xml:space="preserve"> retrieved from: </w:t>
      </w:r>
      <w:hyperlink r:id="rId13" w:history="1">
        <w:r w:rsidRPr="00550113">
          <w:rPr>
            <w:rStyle w:val="Hyperlink"/>
            <w:rFonts w:ascii="Times New Roman" w:hAnsi="Times New Roman" w:cs="Times New Roman"/>
            <w:sz w:val="24"/>
            <w:szCs w:val="24"/>
          </w:rPr>
          <w:t>https://www.freseniusmedicalcare.com/en/investors/news-publications/financial-reports/</w:t>
        </w:r>
      </w:hyperlink>
    </w:p>
    <w:p w14:paraId="141556B1" w14:textId="77777777" w:rsidR="00920B5C" w:rsidRDefault="00A67C1D" w:rsidP="00920B5C">
      <w:pPr>
        <w:spacing w:after="0" w:line="480" w:lineRule="auto"/>
        <w:ind w:left="720" w:hanging="720"/>
        <w:rPr>
          <w:rFonts w:ascii="Times New Roman" w:eastAsia="Times New Roman" w:hAnsi="Times New Roman" w:cs="Times New Roman"/>
          <w:sz w:val="24"/>
          <w:szCs w:val="24"/>
        </w:rPr>
      </w:pPr>
      <w:r w:rsidRPr="00550113">
        <w:rPr>
          <w:rFonts w:ascii="Times New Roman" w:eastAsia="Times New Roman" w:hAnsi="Times New Roman" w:cs="Times New Roman"/>
          <w:sz w:val="24"/>
          <w:szCs w:val="24"/>
        </w:rPr>
        <w:t>Schädler, T. (2018). Measuring irrationality in Financial markets. Archives of Business Research, 6, 252-259.</w:t>
      </w:r>
    </w:p>
    <w:p w14:paraId="2B6E80C2" w14:textId="77777777" w:rsidR="00333F3B" w:rsidRPr="00550113" w:rsidRDefault="00333F3B" w:rsidP="006B2AA3">
      <w:pPr>
        <w:spacing w:after="0" w:line="480" w:lineRule="auto"/>
        <w:ind w:left="720" w:hanging="720"/>
        <w:rPr>
          <w:rFonts w:ascii="Times New Roman" w:hAnsi="Times New Roman" w:cs="Times New Roman"/>
          <w:sz w:val="24"/>
          <w:szCs w:val="24"/>
        </w:rPr>
      </w:pPr>
    </w:p>
    <w:sectPr w:rsidR="00333F3B" w:rsidRPr="00550113" w:rsidSect="00F9358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034893" w14:textId="77777777" w:rsidR="00D078E3" w:rsidRDefault="00D078E3">
      <w:pPr>
        <w:spacing w:after="0" w:line="240" w:lineRule="auto"/>
      </w:pPr>
      <w:r>
        <w:separator/>
      </w:r>
    </w:p>
  </w:endnote>
  <w:endnote w:type="continuationSeparator" w:id="0">
    <w:p w14:paraId="08ACEF2B" w14:textId="77777777" w:rsidR="00D078E3" w:rsidRDefault="00D0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3B044" w14:textId="77777777" w:rsidR="00D078E3" w:rsidRDefault="00D078E3">
      <w:pPr>
        <w:spacing w:after="0" w:line="240" w:lineRule="auto"/>
      </w:pPr>
      <w:r>
        <w:separator/>
      </w:r>
    </w:p>
  </w:footnote>
  <w:footnote w:type="continuationSeparator" w:id="0">
    <w:p w14:paraId="12CD9964" w14:textId="77777777" w:rsidR="00D078E3" w:rsidRDefault="00D07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1059759"/>
      <w:docPartObj>
        <w:docPartGallery w:val="Page Numbers (Top of Page)"/>
        <w:docPartUnique/>
      </w:docPartObj>
    </w:sdtPr>
    <w:sdtEndPr>
      <w:rPr>
        <w:noProof/>
      </w:rPr>
    </w:sdtEndPr>
    <w:sdtContent>
      <w:p w14:paraId="6562525A" w14:textId="12165BCF" w:rsidR="00F9358D" w:rsidRDefault="00D078E3">
        <w:pPr>
          <w:pStyle w:val="Header"/>
          <w:jc w:val="right"/>
        </w:pPr>
        <w:hyperlink r:id="rId1" w:history="1">
          <w:r w:rsidR="00A67C1D" w:rsidRPr="00F9358D">
            <w:rPr>
              <w:rStyle w:val="Hyperlink"/>
              <w:rFonts w:ascii="Times New Roman" w:hAnsi="Times New Roman" w:cs="Times New Roman"/>
              <w:color w:val="auto"/>
              <w:sz w:val="24"/>
              <w:szCs w:val="24"/>
              <w:u w:val="none"/>
            </w:rPr>
            <w:t>FRESENIUS MEDICAL CARE AG AND COMPANY</w:t>
          </w:r>
        </w:hyperlink>
        <w:r w:rsidR="00A67C1D">
          <w:rPr>
            <w:rFonts w:ascii="Times New Roman" w:hAnsi="Times New Roman" w:cs="Times New Roman"/>
            <w:sz w:val="24"/>
            <w:szCs w:val="24"/>
          </w:rPr>
          <w:tab/>
        </w:r>
        <w:r w:rsidR="00A67C1D">
          <w:fldChar w:fldCharType="begin"/>
        </w:r>
        <w:r w:rsidR="00A67C1D">
          <w:instrText xml:space="preserve"> PAGE   \* MERGEFORMAT </w:instrText>
        </w:r>
        <w:r w:rsidR="00A67C1D">
          <w:fldChar w:fldCharType="separate"/>
        </w:r>
        <w:r w:rsidR="00A67C1D">
          <w:rPr>
            <w:noProof/>
          </w:rPr>
          <w:t>2</w:t>
        </w:r>
        <w:r w:rsidR="00A67C1D">
          <w:rPr>
            <w:noProof/>
          </w:rPr>
          <w:fldChar w:fldCharType="end"/>
        </w:r>
      </w:p>
    </w:sdtContent>
  </w:sdt>
  <w:p w14:paraId="67BD8F62" w14:textId="77777777" w:rsidR="00F9358D" w:rsidRDefault="00F93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C0FCD" w14:textId="1D37A968" w:rsidR="00F9358D" w:rsidRPr="00F9358D" w:rsidRDefault="00A67C1D" w:rsidP="00F9358D">
    <w:pPr>
      <w:spacing w:after="0" w:line="480" w:lineRule="auto"/>
      <w:rPr>
        <w:b/>
        <w:bCs/>
      </w:rPr>
    </w:pPr>
    <w:r w:rsidRPr="00F9358D">
      <w:rPr>
        <w:rFonts w:ascii="Times New Roman" w:hAnsi="Times New Roman" w:cs="Times New Roman"/>
        <w:sz w:val="24"/>
        <w:szCs w:val="24"/>
      </w:rPr>
      <w:t xml:space="preserve">Running Head: </w:t>
    </w:r>
    <w:hyperlink r:id="rId1" w:history="1">
      <w:r w:rsidRPr="00F9358D">
        <w:rPr>
          <w:rStyle w:val="Hyperlink"/>
          <w:rFonts w:ascii="Times New Roman" w:hAnsi="Times New Roman" w:cs="Times New Roman"/>
          <w:color w:val="auto"/>
          <w:sz w:val="24"/>
          <w:szCs w:val="24"/>
          <w:u w:val="none"/>
        </w:rPr>
        <w:t>FRESENIUS MEDICAL CARE AG AND COMPANY</w:t>
      </w:r>
    </w:hyperlink>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358D">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834C8"/>
    <w:multiLevelType w:val="hybridMultilevel"/>
    <w:tmpl w:val="76F29378"/>
    <w:lvl w:ilvl="0" w:tplc="96F49CD2">
      <w:start w:val="1"/>
      <w:numFmt w:val="lowerLetter"/>
      <w:lvlText w:val="%1."/>
      <w:lvlJc w:val="left"/>
      <w:pPr>
        <w:ind w:left="720" w:hanging="360"/>
      </w:pPr>
      <w:rPr>
        <w:rFonts w:hint="default"/>
      </w:rPr>
    </w:lvl>
    <w:lvl w:ilvl="1" w:tplc="CC847424" w:tentative="1">
      <w:start w:val="1"/>
      <w:numFmt w:val="lowerLetter"/>
      <w:lvlText w:val="%2."/>
      <w:lvlJc w:val="left"/>
      <w:pPr>
        <w:ind w:left="1440" w:hanging="360"/>
      </w:pPr>
    </w:lvl>
    <w:lvl w:ilvl="2" w:tplc="020E285E" w:tentative="1">
      <w:start w:val="1"/>
      <w:numFmt w:val="lowerRoman"/>
      <w:lvlText w:val="%3."/>
      <w:lvlJc w:val="right"/>
      <w:pPr>
        <w:ind w:left="2160" w:hanging="180"/>
      </w:pPr>
    </w:lvl>
    <w:lvl w:ilvl="3" w:tplc="0F0EDC78" w:tentative="1">
      <w:start w:val="1"/>
      <w:numFmt w:val="decimal"/>
      <w:lvlText w:val="%4."/>
      <w:lvlJc w:val="left"/>
      <w:pPr>
        <w:ind w:left="2880" w:hanging="360"/>
      </w:pPr>
    </w:lvl>
    <w:lvl w:ilvl="4" w:tplc="9A566182" w:tentative="1">
      <w:start w:val="1"/>
      <w:numFmt w:val="lowerLetter"/>
      <w:lvlText w:val="%5."/>
      <w:lvlJc w:val="left"/>
      <w:pPr>
        <w:ind w:left="3600" w:hanging="360"/>
      </w:pPr>
    </w:lvl>
    <w:lvl w:ilvl="5" w:tplc="4166683C" w:tentative="1">
      <w:start w:val="1"/>
      <w:numFmt w:val="lowerRoman"/>
      <w:lvlText w:val="%6."/>
      <w:lvlJc w:val="right"/>
      <w:pPr>
        <w:ind w:left="4320" w:hanging="180"/>
      </w:pPr>
    </w:lvl>
    <w:lvl w:ilvl="6" w:tplc="5D3064D8" w:tentative="1">
      <w:start w:val="1"/>
      <w:numFmt w:val="decimal"/>
      <w:lvlText w:val="%7."/>
      <w:lvlJc w:val="left"/>
      <w:pPr>
        <w:ind w:left="5040" w:hanging="360"/>
      </w:pPr>
    </w:lvl>
    <w:lvl w:ilvl="7" w:tplc="47D060F4" w:tentative="1">
      <w:start w:val="1"/>
      <w:numFmt w:val="lowerLetter"/>
      <w:lvlText w:val="%8."/>
      <w:lvlJc w:val="left"/>
      <w:pPr>
        <w:ind w:left="5760" w:hanging="360"/>
      </w:pPr>
    </w:lvl>
    <w:lvl w:ilvl="8" w:tplc="0300960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5A"/>
    <w:rsid w:val="000630E1"/>
    <w:rsid w:val="000C78EA"/>
    <w:rsid w:val="0013348E"/>
    <w:rsid w:val="001976F5"/>
    <w:rsid w:val="001D4CC4"/>
    <w:rsid w:val="00224104"/>
    <w:rsid w:val="002934A1"/>
    <w:rsid w:val="00294AD5"/>
    <w:rsid w:val="002A0FE8"/>
    <w:rsid w:val="002D1A65"/>
    <w:rsid w:val="002E4FA5"/>
    <w:rsid w:val="00333F3B"/>
    <w:rsid w:val="00340F7C"/>
    <w:rsid w:val="003F6997"/>
    <w:rsid w:val="00410082"/>
    <w:rsid w:val="0041079C"/>
    <w:rsid w:val="004234DE"/>
    <w:rsid w:val="00424970"/>
    <w:rsid w:val="00472268"/>
    <w:rsid w:val="004760EE"/>
    <w:rsid w:val="00476763"/>
    <w:rsid w:val="00480E5A"/>
    <w:rsid w:val="00485478"/>
    <w:rsid w:val="004D1125"/>
    <w:rsid w:val="004D545D"/>
    <w:rsid w:val="00506DB4"/>
    <w:rsid w:val="0053387D"/>
    <w:rsid w:val="00550113"/>
    <w:rsid w:val="005F1246"/>
    <w:rsid w:val="006B2AA3"/>
    <w:rsid w:val="006E654B"/>
    <w:rsid w:val="00720795"/>
    <w:rsid w:val="0072287E"/>
    <w:rsid w:val="007358CE"/>
    <w:rsid w:val="00753E23"/>
    <w:rsid w:val="00756CCE"/>
    <w:rsid w:val="00785B90"/>
    <w:rsid w:val="00795597"/>
    <w:rsid w:val="007C6D6B"/>
    <w:rsid w:val="007D165C"/>
    <w:rsid w:val="00920B5C"/>
    <w:rsid w:val="00950882"/>
    <w:rsid w:val="0099245A"/>
    <w:rsid w:val="009C0BE8"/>
    <w:rsid w:val="00A06108"/>
    <w:rsid w:val="00A14779"/>
    <w:rsid w:val="00A263E1"/>
    <w:rsid w:val="00A44B7B"/>
    <w:rsid w:val="00A67C1D"/>
    <w:rsid w:val="00AC6278"/>
    <w:rsid w:val="00AD7941"/>
    <w:rsid w:val="00B006C2"/>
    <w:rsid w:val="00B173CA"/>
    <w:rsid w:val="00BD3310"/>
    <w:rsid w:val="00C27487"/>
    <w:rsid w:val="00C46851"/>
    <w:rsid w:val="00C865A0"/>
    <w:rsid w:val="00D078E3"/>
    <w:rsid w:val="00D10B1C"/>
    <w:rsid w:val="00D12134"/>
    <w:rsid w:val="00D15B33"/>
    <w:rsid w:val="00D54080"/>
    <w:rsid w:val="00E16867"/>
    <w:rsid w:val="00E347C5"/>
    <w:rsid w:val="00E76877"/>
    <w:rsid w:val="00EF6DBC"/>
    <w:rsid w:val="00F20856"/>
    <w:rsid w:val="00F5698E"/>
    <w:rsid w:val="00F9358D"/>
    <w:rsid w:val="00FE2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9E73"/>
  <w15:chartTrackingRefBased/>
  <w15:docId w15:val="{35BED4F3-6A36-4377-B006-C0C79061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D16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45A"/>
    <w:rPr>
      <w:color w:val="0000FF"/>
      <w:u w:val="single"/>
    </w:rPr>
  </w:style>
  <w:style w:type="paragraph" w:styleId="ListParagraph">
    <w:name w:val="List Paragraph"/>
    <w:basedOn w:val="Normal"/>
    <w:uiPriority w:val="34"/>
    <w:qFormat/>
    <w:rsid w:val="000630E1"/>
    <w:pPr>
      <w:ind w:left="720"/>
      <w:contextualSpacing/>
    </w:pPr>
  </w:style>
  <w:style w:type="character" w:styleId="CommentReference">
    <w:name w:val="annotation reference"/>
    <w:basedOn w:val="DefaultParagraphFont"/>
    <w:uiPriority w:val="99"/>
    <w:semiHidden/>
    <w:unhideWhenUsed/>
    <w:rsid w:val="00E76877"/>
    <w:rPr>
      <w:sz w:val="16"/>
      <w:szCs w:val="16"/>
    </w:rPr>
  </w:style>
  <w:style w:type="paragraph" w:styleId="CommentText">
    <w:name w:val="annotation text"/>
    <w:basedOn w:val="Normal"/>
    <w:link w:val="CommentTextChar"/>
    <w:uiPriority w:val="99"/>
    <w:semiHidden/>
    <w:unhideWhenUsed/>
    <w:rsid w:val="00E76877"/>
    <w:pPr>
      <w:spacing w:line="240" w:lineRule="auto"/>
    </w:pPr>
    <w:rPr>
      <w:sz w:val="20"/>
      <w:szCs w:val="20"/>
    </w:rPr>
  </w:style>
  <w:style w:type="character" w:customStyle="1" w:styleId="CommentTextChar">
    <w:name w:val="Comment Text Char"/>
    <w:basedOn w:val="DefaultParagraphFont"/>
    <w:link w:val="CommentText"/>
    <w:uiPriority w:val="99"/>
    <w:semiHidden/>
    <w:rsid w:val="00E76877"/>
    <w:rPr>
      <w:sz w:val="20"/>
      <w:szCs w:val="20"/>
    </w:rPr>
  </w:style>
  <w:style w:type="paragraph" w:styleId="CommentSubject">
    <w:name w:val="annotation subject"/>
    <w:basedOn w:val="CommentText"/>
    <w:next w:val="CommentText"/>
    <w:link w:val="CommentSubjectChar"/>
    <w:uiPriority w:val="99"/>
    <w:semiHidden/>
    <w:unhideWhenUsed/>
    <w:rsid w:val="00E76877"/>
    <w:rPr>
      <w:b/>
      <w:bCs/>
    </w:rPr>
  </w:style>
  <w:style w:type="character" w:customStyle="1" w:styleId="CommentSubjectChar">
    <w:name w:val="Comment Subject Char"/>
    <w:basedOn w:val="CommentTextChar"/>
    <w:link w:val="CommentSubject"/>
    <w:uiPriority w:val="99"/>
    <w:semiHidden/>
    <w:rsid w:val="00E76877"/>
    <w:rPr>
      <w:b/>
      <w:bCs/>
      <w:sz w:val="20"/>
      <w:szCs w:val="20"/>
    </w:rPr>
  </w:style>
  <w:style w:type="table" w:styleId="TableGrid">
    <w:name w:val="Table Grid"/>
    <w:basedOn w:val="TableNormal"/>
    <w:uiPriority w:val="39"/>
    <w:rsid w:val="009C0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14779"/>
    <w:rPr>
      <w:color w:val="605E5C"/>
      <w:shd w:val="clear" w:color="auto" w:fill="E1DFDD"/>
    </w:rPr>
  </w:style>
  <w:style w:type="character" w:customStyle="1" w:styleId="Heading3Char">
    <w:name w:val="Heading 3 Char"/>
    <w:basedOn w:val="DefaultParagraphFont"/>
    <w:link w:val="Heading3"/>
    <w:uiPriority w:val="9"/>
    <w:rsid w:val="007D165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F93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58D"/>
  </w:style>
  <w:style w:type="paragraph" w:styleId="Footer">
    <w:name w:val="footer"/>
    <w:basedOn w:val="Normal"/>
    <w:link w:val="FooterChar"/>
    <w:uiPriority w:val="99"/>
    <w:unhideWhenUsed/>
    <w:rsid w:val="00F93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advfn.com/stock-market/NYSE/fresenius-medical-care-FMS/stock-price" TargetMode="External"/><Relationship Id="rId13" Type="http://schemas.openxmlformats.org/officeDocument/2006/relationships/hyperlink" Target="https://www.freseniusmedicalcare.com/en/investors/news-publications/financial-reports/" TargetMode="External"/><Relationship Id="rId3" Type="http://schemas.openxmlformats.org/officeDocument/2006/relationships/settings" Target="settings.xml"/><Relationship Id="rId7" Type="http://schemas.openxmlformats.org/officeDocument/2006/relationships/hyperlink" Target="https://ih.advfn.com/stock-market/NYSE/fresenius-medical-care-FMS/stock-price" TargetMode="External"/><Relationship Id="rId12" Type="http://schemas.openxmlformats.org/officeDocument/2006/relationships/hyperlink" Target="https://www.freseniusmedicalcare.com/fileadmin/data/com/pdf/investors/News___Publications/Financial_Report/2020/Q3_2020_6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seniusmedicalcare.com/fileadmin/data/com/pdf/investors/News___Publications/Financial_Report/2020/Q2_2020_6K.PD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freseniusmedicalcare.com/fileadmin/data/com/pdf/investors/News___Publications/Financial_Report/2020/FME_Deutsche_Boerse_Q1_2020_EN.pdf" TargetMode="External"/><Relationship Id="rId4" Type="http://schemas.openxmlformats.org/officeDocument/2006/relationships/webSettings" Target="webSettings.xml"/><Relationship Id="rId9" Type="http://schemas.openxmlformats.org/officeDocument/2006/relationships/hyperlink" Target="https://ih.advfn.com/stock-market/NYSE/fresenius-medical-care-FMS/stock-pric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ih.advfn.com/stock-market/NYSE/fresenius-medical-care-FMS/stock-price"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ih.advfn.com/stock-market/NYSE/fresenius-medical-care-FMS/stock-p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2479</Words>
  <Characters>14132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8</cp:revision>
  <dcterms:created xsi:type="dcterms:W3CDTF">2021-02-03T02:24:00Z</dcterms:created>
  <dcterms:modified xsi:type="dcterms:W3CDTF">2021-02-03T06:14:00Z</dcterms:modified>
</cp:coreProperties>
</file>